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bookmarkStart w:id="0" w:name="_GoBack"/>
      <w:bookmarkEnd w:id="0"/>
    </w:p>
    <w:tbl>
      <w:tblPr>
        <w:tblStyle w:val="ad"/>
        <w:bidiVisual/>
        <w:tblW w:w="8820" w:type="dxa"/>
        <w:tblLook w:val="01E0" w:firstRow="1" w:lastRow="1" w:firstColumn="1" w:lastColumn="1" w:noHBand="0" w:noVBand="0"/>
      </w:tblPr>
      <w:tblGrid>
        <w:gridCol w:w="743"/>
        <w:gridCol w:w="2506"/>
        <w:gridCol w:w="1800"/>
        <w:gridCol w:w="3771"/>
      </w:tblGrid>
      <w:tr w:rsidR="002914D6" w:rsidTr="00DA714E">
        <w:trPr>
          <w:trHeight w:val="295"/>
        </w:trPr>
        <w:tc>
          <w:tcPr>
            <w:tcW w:w="5049" w:type="dxa"/>
            <w:gridSpan w:val="3"/>
          </w:tcPr>
          <w:p w:rsidR="002914D6" w:rsidRDefault="002914D6">
            <w:pPr>
              <w:rPr>
                <w:rFonts w:ascii="Arial" w:hAnsi="Arial"/>
                <w:b/>
                <w:bCs/>
                <w:noProof w:val="0"/>
                <w:sz w:val="26"/>
                <w:szCs w:val="26"/>
                <w:rtl/>
              </w:rPr>
            </w:pPr>
          </w:p>
        </w:tc>
        <w:tc>
          <w:tcPr>
            <w:tcW w:w="3771" w:type="dxa"/>
          </w:tcPr>
          <w:p w:rsidR="002914D6" w:rsidRDefault="00011212">
            <w:pPr>
              <w:jc w:val="right"/>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843432373"/>
                <w:text w:multiLine="1"/>
              </w:sdtPr>
              <w:sdtEndPr/>
              <w:sdtContent>
                <w:r>
                  <w:rPr>
                    <w:rFonts w:ascii="Arial" w:hAnsi="Arial"/>
                    <w:b/>
                    <w:bCs/>
                    <w:noProof w:val="0"/>
                    <w:sz w:val="26"/>
                    <w:szCs w:val="26"/>
                    <w:rtl/>
                  </w:rPr>
                  <w:t>2</w:t>
                </w:r>
              </w:sdtContent>
            </w:sdt>
          </w:p>
        </w:tc>
      </w:tr>
      <w:tr w:rsidR="002914D6" w:rsidTr="00DA714E">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ערן אביטל</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CE0603" w:rsidRDefault="00133E52">
                <w:pPr>
                  <w:bidi w:val="0"/>
                  <w:jc w:val="right"/>
                  <w:rPr>
                    <w:rFonts w:ascii="Arial" w:hAnsi="Arial"/>
                    <w:b/>
                    <w:bCs/>
                    <w:noProof w:val="0"/>
                    <w:sz w:val="26"/>
                    <w:szCs w:val="26"/>
                    <w:rtl/>
                  </w:rPr>
                </w:pPr>
                <w:r>
                  <w:rPr>
                    <w:rFonts w:ascii="Arial" w:hAnsi="Arial"/>
                    <w:b/>
                    <w:bCs/>
                    <w:noProof w:val="0"/>
                    <w:sz w:val="26"/>
                    <w:szCs w:val="26"/>
                    <w:rtl/>
                  </w:rPr>
                  <w:t>מבקש</w:t>
                </w:r>
              </w:p>
            </w:sdtContent>
          </w:sdt>
        </w:tc>
        <w:tc>
          <w:tcPr>
            <w:tcW w:w="5571" w:type="dxa"/>
            <w:gridSpan w:val="2"/>
          </w:tcPr>
          <w:p w:rsidR="002914D6" w:rsidRDefault="002914D6">
            <w:pPr>
              <w:rPr>
                <w:rFonts w:ascii="Arial" w:hAnsi="Arial"/>
                <w:b/>
                <w:bCs/>
                <w:noProof w:val="0"/>
                <w:sz w:val="26"/>
                <w:szCs w:val="26"/>
              </w:rPr>
            </w:pPr>
          </w:p>
          <w:p w:rsidR="002914D6" w:rsidRDefault="00133E52" w:rsidP="00133E52">
            <w:pPr>
              <w:rPr>
                <w:b/>
                <w:bCs/>
                <w:noProof w:val="0"/>
                <w:sz w:val="26"/>
                <w:szCs w:val="26"/>
                <w:rtl/>
              </w:rPr>
            </w:pPr>
            <w:r>
              <w:rPr>
                <w:rFonts w:ascii="Arial" w:hAnsi="Arial" w:hint="cs"/>
                <w:b/>
                <w:bCs/>
                <w:noProof w:val="0"/>
                <w:sz w:val="26"/>
                <w:szCs w:val="26"/>
                <w:rtl/>
              </w:rPr>
              <w:t>א.ר.</w:t>
            </w:r>
          </w:p>
          <w:p w:rsidR="005E4C4D" w:rsidRPr="005E4C4D" w:rsidRDefault="005E4C4D" w:rsidP="00133E52">
            <w:pPr>
              <w:rPr>
                <w:noProof w:val="0"/>
              </w:rPr>
            </w:pPr>
            <w:r w:rsidRPr="005E4C4D">
              <w:rPr>
                <w:rFonts w:hint="cs"/>
                <w:noProof w:val="0"/>
                <w:rtl/>
              </w:rPr>
              <w:t>באמצעות ב"כ עו"ד ח' ולר</w:t>
            </w:r>
          </w:p>
        </w:tc>
      </w:tr>
      <w:tr w:rsidR="002914D6" w:rsidTr="00DA714E">
        <w:tc>
          <w:tcPr>
            <w:tcW w:w="8820" w:type="dxa"/>
            <w:gridSpan w:val="4"/>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764A12">
            <w:pPr>
              <w:rPr>
                <w:rFonts w:ascii="Arial" w:hAnsi="Arial"/>
                <w:b/>
                <w:bCs/>
                <w:noProof w:val="0"/>
                <w:sz w:val="26"/>
                <w:szCs w:val="26"/>
              </w:rPr>
            </w:pPr>
            <w:sdt>
              <w:sdtPr>
                <w:rPr>
                  <w:rtl/>
                </w:rPr>
                <w:alias w:val="1184"/>
                <w:tag w:val="1184"/>
                <w:id w:val="385841288"/>
                <w:text w:multiLine="1"/>
              </w:sdtPr>
              <w:sdtEndPr/>
              <w:sdtContent>
                <w:r w:rsidR="00133E52">
                  <w:rPr>
                    <w:rFonts w:ascii="Arial" w:hAnsi="Arial"/>
                    <w:b/>
                    <w:bCs/>
                    <w:noProof w:val="0"/>
                    <w:sz w:val="26"/>
                    <w:szCs w:val="26"/>
                    <w:rtl/>
                  </w:rPr>
                  <w:t>משיב</w:t>
                </w:r>
                <w:r w:rsidR="00133E52">
                  <w:rPr>
                    <w:rFonts w:ascii="Arial" w:hAnsi="Arial" w:hint="cs"/>
                    <w:b/>
                    <w:bCs/>
                    <w:noProof w:val="0"/>
                    <w:sz w:val="26"/>
                    <w:szCs w:val="26"/>
                    <w:rtl/>
                  </w:rPr>
                  <w:t>ה</w:t>
                </w:r>
              </w:sdtContent>
            </w:sdt>
          </w:p>
        </w:tc>
        <w:tc>
          <w:tcPr>
            <w:tcW w:w="5571" w:type="dxa"/>
            <w:gridSpan w:val="2"/>
          </w:tcPr>
          <w:p w:rsidR="002914D6" w:rsidRDefault="002914D6">
            <w:pPr>
              <w:rPr>
                <w:rFonts w:ascii="Arial" w:hAnsi="Arial"/>
                <w:b/>
                <w:bCs/>
                <w:noProof w:val="0"/>
                <w:sz w:val="26"/>
                <w:szCs w:val="26"/>
                <w:rtl/>
              </w:rPr>
            </w:pPr>
          </w:p>
          <w:p w:rsidR="002914D6" w:rsidRDefault="00133E52" w:rsidP="00133E52">
            <w:pPr>
              <w:rPr>
                <w:b/>
                <w:bCs/>
                <w:noProof w:val="0"/>
                <w:sz w:val="26"/>
                <w:szCs w:val="26"/>
                <w:rtl/>
              </w:rPr>
            </w:pPr>
            <w:r>
              <w:rPr>
                <w:rFonts w:ascii="Arial" w:hAnsi="Arial" w:hint="cs"/>
                <w:b/>
                <w:bCs/>
                <w:noProof w:val="0"/>
                <w:sz w:val="26"/>
                <w:szCs w:val="26"/>
                <w:rtl/>
              </w:rPr>
              <w:t>ש.ר.</w:t>
            </w:r>
          </w:p>
        </w:tc>
      </w:tr>
      <w:tr w:rsidR="00DA714E" w:rsidTr="00020144">
        <w:tc>
          <w:tcPr>
            <w:tcW w:w="8820" w:type="dxa"/>
            <w:gridSpan w:val="4"/>
          </w:tcPr>
          <w:p w:rsidR="00CE0603" w:rsidRDefault="00CE0603">
            <w:pPr>
              <w:rPr>
                <w:b/>
                <w:bCs/>
                <w:sz w:val="26"/>
                <w:szCs w:val="26"/>
              </w:rPr>
            </w:pPr>
          </w:p>
          <w:p w:rsidR="00DA714E" w:rsidRDefault="00DA714E">
            <w:pPr>
              <w:rPr>
                <w:rFonts w:ascii="Arial" w:hAnsi="Arial"/>
                <w:b/>
                <w:bCs/>
                <w:noProof w:val="0"/>
                <w:sz w:val="26"/>
                <w:szCs w:val="26"/>
                <w:rtl/>
              </w:rPr>
            </w:pP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p w:rsidR="00320617" w:rsidRDefault="00320617" w:rsidP="00320617">
            <w:pPr>
              <w:bidi w:val="0"/>
              <w:jc w:val="center"/>
              <w:rPr>
                <w:rFonts w:ascii="Arial" w:hAnsi="Arial"/>
                <w:b/>
                <w:bCs/>
                <w:noProof w:val="0"/>
                <w:sz w:val="28"/>
                <w:szCs w:val="28"/>
                <w:u w:val="single"/>
              </w:rPr>
            </w:pPr>
          </w:p>
        </w:tc>
      </w:tr>
    </w:tbl>
    <w:p w:rsidR="002914D6" w:rsidRDefault="00320617" w:rsidP="00E66BCC">
      <w:pPr>
        <w:pStyle w:val="ae"/>
        <w:numPr>
          <w:ilvl w:val="0"/>
          <w:numId w:val="1"/>
        </w:numPr>
        <w:spacing w:line="360" w:lineRule="auto"/>
        <w:jc w:val="both"/>
        <w:rPr>
          <w:rFonts w:ascii="Arial" w:hAnsi="Arial"/>
          <w:noProof w:val="0"/>
        </w:rPr>
      </w:pPr>
      <w:r>
        <w:rPr>
          <w:rFonts w:ascii="Arial" w:hAnsi="Arial" w:hint="cs"/>
          <w:noProof w:val="0"/>
          <w:rtl/>
        </w:rPr>
        <w:t>המבקש עתר להטלת עיקול במעמד צד אחד על דירת מגורים שלטענתו רשומה על שם המשיבה, אולם הבעלות בה שייכת לצדדים מחצה על מחצה, בהתאם לקבוע בחוק יחסי ממון בין בני זוג, התשל"ג-1973.</w:t>
      </w:r>
    </w:p>
    <w:p w:rsidR="00651480" w:rsidRPr="00E66BCC" w:rsidRDefault="00651480" w:rsidP="00651480">
      <w:pPr>
        <w:pStyle w:val="ae"/>
        <w:spacing w:line="360" w:lineRule="auto"/>
        <w:jc w:val="both"/>
        <w:rPr>
          <w:rFonts w:ascii="Arial" w:hAnsi="Arial"/>
          <w:noProof w:val="0"/>
        </w:rPr>
      </w:pPr>
    </w:p>
    <w:p w:rsidR="00320617" w:rsidRDefault="00320617" w:rsidP="005E4C4D">
      <w:pPr>
        <w:pStyle w:val="ae"/>
        <w:numPr>
          <w:ilvl w:val="0"/>
          <w:numId w:val="1"/>
        </w:numPr>
        <w:spacing w:line="360" w:lineRule="auto"/>
        <w:jc w:val="both"/>
        <w:rPr>
          <w:rFonts w:ascii="Arial" w:hAnsi="Arial"/>
          <w:noProof w:val="0"/>
        </w:rPr>
      </w:pPr>
      <w:r>
        <w:rPr>
          <w:rFonts w:ascii="Arial" w:hAnsi="Arial" w:hint="cs"/>
          <w:noProof w:val="0"/>
          <w:rtl/>
        </w:rPr>
        <w:t>הבקשה הוגשה בתחילה במסגרת הליך של "</w:t>
      </w:r>
      <w:r w:rsidRPr="00E66BCC">
        <w:rPr>
          <w:rFonts w:ascii="Arial" w:hAnsi="Arial" w:hint="cs"/>
          <w:b/>
          <w:bCs/>
          <w:noProof w:val="0"/>
          <w:rtl/>
        </w:rPr>
        <w:t>אישור פסק בורר-חוץ</w:t>
      </w:r>
      <w:r>
        <w:rPr>
          <w:rFonts w:ascii="Arial" w:hAnsi="Arial" w:hint="cs"/>
          <w:noProof w:val="0"/>
          <w:rtl/>
        </w:rPr>
        <w:t>". בבקשה זו נטען, כי הצדדים הם בני זוג יהודים שהתגוררו בעבר בי</w:t>
      </w:r>
      <w:r w:rsidR="00651480">
        <w:rPr>
          <w:rFonts w:ascii="Arial" w:hAnsi="Arial" w:hint="cs"/>
          <w:noProof w:val="0"/>
          <w:rtl/>
        </w:rPr>
        <w:t xml:space="preserve">שראל, אולם עקרו </w:t>
      </w:r>
      <w:r w:rsidR="005E4C4D">
        <w:rPr>
          <w:rFonts w:ascii="Arial" w:hAnsi="Arial" w:hint="cs"/>
          <w:noProof w:val="0"/>
          <w:rtl/>
        </w:rPr>
        <w:t>לא'</w:t>
      </w:r>
      <w:r w:rsidR="00651480">
        <w:rPr>
          <w:rFonts w:ascii="Arial" w:hAnsi="Arial" w:hint="cs"/>
          <w:noProof w:val="0"/>
          <w:rtl/>
        </w:rPr>
        <w:t xml:space="preserve"> לפני כ-30 שנים. הצדדים מנהלים הליכי גירושין באמצעות בוררות לפני מוסד הידוע בשם "</w:t>
      </w:r>
      <w:r w:rsidR="00133E52">
        <w:rPr>
          <w:rFonts w:ascii="Arial" w:hAnsi="Arial" w:hint="cs"/>
          <w:noProof w:val="0"/>
        </w:rPr>
        <w:t>XY</w:t>
      </w:r>
      <w:r w:rsidR="00651480">
        <w:rPr>
          <w:rFonts w:ascii="Arial" w:hAnsi="Arial" w:hint="cs"/>
          <w:noProof w:val="0"/>
          <w:rtl/>
        </w:rPr>
        <w:t>" בעיר נ</w:t>
      </w:r>
      <w:r w:rsidR="00133E52">
        <w:rPr>
          <w:rFonts w:ascii="Arial" w:hAnsi="Arial" w:hint="cs"/>
          <w:noProof w:val="0"/>
          <w:rtl/>
        </w:rPr>
        <w:t>'</w:t>
      </w:r>
      <w:r w:rsidR="00651480">
        <w:rPr>
          <w:rFonts w:ascii="Arial" w:hAnsi="Arial" w:hint="cs"/>
          <w:noProof w:val="0"/>
          <w:rtl/>
        </w:rPr>
        <w:t>. נטען,</w:t>
      </w:r>
      <w:r w:rsidR="005E4C4D">
        <w:rPr>
          <w:rFonts w:ascii="Arial" w:hAnsi="Arial" w:hint="cs"/>
          <w:noProof w:val="0"/>
          <w:rtl/>
        </w:rPr>
        <w:t xml:space="preserve"> כי בתאריך 27.7.24 קבע הבורר-</w:t>
      </w:r>
      <w:r w:rsidR="00651480">
        <w:rPr>
          <w:rFonts w:ascii="Arial" w:hAnsi="Arial" w:hint="cs"/>
          <w:noProof w:val="0"/>
          <w:rtl/>
        </w:rPr>
        <w:t>ק</w:t>
      </w:r>
      <w:r w:rsidR="00133E52">
        <w:rPr>
          <w:rFonts w:ascii="Arial" w:hAnsi="Arial" w:hint="cs"/>
          <w:noProof w:val="0"/>
          <w:rtl/>
        </w:rPr>
        <w:t>'</w:t>
      </w:r>
      <w:r w:rsidR="00651480">
        <w:rPr>
          <w:rFonts w:ascii="Arial" w:hAnsi="Arial" w:hint="cs"/>
          <w:noProof w:val="0"/>
          <w:rtl/>
        </w:rPr>
        <w:t xml:space="preserve"> שיש להטיל על דירת המשיבה בישראל צו עיקול. המבקש עתר לרישום צו  הבורר, תוך שהוא מדגיש, כי לדעתו המשיבה הגיעה ארצה לשם מכירת הדירה והברחת כספי המכירה ממסת נכסי הזוג. </w:t>
      </w:r>
      <w:r w:rsidR="00335158">
        <w:rPr>
          <w:rFonts w:ascii="Arial" w:hAnsi="Arial" w:hint="cs"/>
          <w:noProof w:val="0"/>
          <w:rtl/>
        </w:rPr>
        <w:t>עוד הודגש בבקשה, כי על בית המשפט להיעתר לבקשה בהתאם להוראות אמנת ניו יורק בדבר הכרתם ואכיפתם של פסקי בוררות חוץ, 1958 (להלן: "</w:t>
      </w:r>
      <w:r w:rsidR="00335158" w:rsidRPr="00335158">
        <w:rPr>
          <w:rFonts w:ascii="Arial" w:hAnsi="Arial" w:hint="cs"/>
          <w:b/>
          <w:bCs/>
          <w:noProof w:val="0"/>
          <w:rtl/>
        </w:rPr>
        <w:t>אמנת ניו יורק</w:t>
      </w:r>
      <w:r w:rsidR="00335158">
        <w:rPr>
          <w:rFonts w:ascii="Arial" w:hAnsi="Arial" w:hint="cs"/>
          <w:noProof w:val="0"/>
          <w:rtl/>
        </w:rPr>
        <w:t>").</w:t>
      </w:r>
    </w:p>
    <w:p w:rsidR="00335158" w:rsidRPr="00335158" w:rsidRDefault="00335158" w:rsidP="00335158">
      <w:pPr>
        <w:pStyle w:val="ae"/>
        <w:rPr>
          <w:rFonts w:ascii="Arial" w:hAnsi="Arial"/>
          <w:noProof w:val="0"/>
          <w:rtl/>
        </w:rPr>
      </w:pPr>
    </w:p>
    <w:p w:rsidR="00651480" w:rsidRPr="00651480" w:rsidRDefault="00651480" w:rsidP="00651480">
      <w:pPr>
        <w:pStyle w:val="ae"/>
        <w:rPr>
          <w:rFonts w:ascii="Arial" w:hAnsi="Arial"/>
          <w:noProof w:val="0"/>
          <w:rtl/>
        </w:rPr>
      </w:pPr>
    </w:p>
    <w:p w:rsidR="00651480" w:rsidRDefault="00651480" w:rsidP="005A782E">
      <w:pPr>
        <w:pStyle w:val="ae"/>
        <w:numPr>
          <w:ilvl w:val="0"/>
          <w:numId w:val="1"/>
        </w:numPr>
        <w:spacing w:line="360" w:lineRule="auto"/>
        <w:jc w:val="both"/>
        <w:rPr>
          <w:rFonts w:ascii="Arial" w:hAnsi="Arial"/>
          <w:noProof w:val="0"/>
        </w:rPr>
      </w:pPr>
      <w:r>
        <w:rPr>
          <w:rFonts w:ascii="Arial" w:hAnsi="Arial" w:hint="cs"/>
          <w:noProof w:val="0"/>
          <w:rtl/>
        </w:rPr>
        <w:t xml:space="preserve">בהחלטתי מתאריך 30.8.24 הועלתה שאלת </w:t>
      </w:r>
      <w:r w:rsidR="00335158">
        <w:rPr>
          <w:rFonts w:ascii="Arial" w:hAnsi="Arial" w:hint="cs"/>
          <w:noProof w:val="0"/>
          <w:rtl/>
        </w:rPr>
        <w:t>סמכות בית משפט בישראל לתת סעד זמני, כאשר מתקיים הליך בו</w:t>
      </w:r>
      <w:r w:rsidR="006E497B">
        <w:rPr>
          <w:rFonts w:ascii="Arial" w:hAnsi="Arial" w:hint="cs"/>
          <w:noProof w:val="0"/>
          <w:rtl/>
        </w:rPr>
        <w:t>ר</w:t>
      </w:r>
      <w:r w:rsidR="00335158">
        <w:rPr>
          <w:rFonts w:ascii="Arial" w:hAnsi="Arial" w:hint="cs"/>
          <w:noProof w:val="0"/>
          <w:rtl/>
        </w:rPr>
        <w:t>רות שאינו בגדרי המדינה. נקבע בהחלטה הנ</w:t>
      </w:r>
      <w:r w:rsidR="005A782E">
        <w:rPr>
          <w:rFonts w:ascii="Arial" w:hAnsi="Arial" w:hint="cs"/>
          <w:noProof w:val="0"/>
          <w:rtl/>
        </w:rPr>
        <w:t>זכרת</w:t>
      </w:r>
      <w:r w:rsidR="00335158">
        <w:rPr>
          <w:rFonts w:ascii="Arial" w:hAnsi="Arial" w:hint="cs"/>
          <w:noProof w:val="0"/>
          <w:rtl/>
        </w:rPr>
        <w:t xml:space="preserve"> שעל המבקש לצרף אסמכתה משפטית ה</w:t>
      </w:r>
      <w:r w:rsidR="002F5B4D">
        <w:rPr>
          <w:rFonts w:ascii="Arial" w:hAnsi="Arial" w:hint="cs"/>
          <w:noProof w:val="0"/>
          <w:rtl/>
        </w:rPr>
        <w:t>קובעת שניתן להיעתר למתן סעד זמנית גם כשהבוררות בחו"ל עדיין מתנהלת ובדלית פסק בורר שניתן לאכיפה בישראל על פי אמנת ניו יורק.</w:t>
      </w:r>
    </w:p>
    <w:p w:rsidR="002F5B4D" w:rsidRDefault="002F5B4D" w:rsidP="002F5B4D">
      <w:pPr>
        <w:pStyle w:val="ae"/>
        <w:spacing w:line="360" w:lineRule="auto"/>
        <w:jc w:val="both"/>
        <w:rPr>
          <w:rFonts w:ascii="Arial" w:hAnsi="Arial"/>
          <w:noProof w:val="0"/>
        </w:rPr>
      </w:pPr>
    </w:p>
    <w:p w:rsidR="005A782E" w:rsidRDefault="002F5B4D" w:rsidP="006E497B">
      <w:pPr>
        <w:pStyle w:val="ae"/>
        <w:numPr>
          <w:ilvl w:val="0"/>
          <w:numId w:val="1"/>
        </w:numPr>
        <w:spacing w:line="360" w:lineRule="auto"/>
        <w:jc w:val="both"/>
        <w:rPr>
          <w:rFonts w:ascii="Arial" w:hAnsi="Arial"/>
          <w:noProof w:val="0"/>
        </w:rPr>
      </w:pPr>
      <w:r>
        <w:rPr>
          <w:rFonts w:ascii="Arial" w:hAnsi="Arial" w:hint="cs"/>
          <w:noProof w:val="0"/>
          <w:rtl/>
        </w:rPr>
        <w:t xml:space="preserve">אסמכתה משפטית לא צורפה. מצד שני, בחר המבקש לתקן את בקשתו ולהגישה הפעם כשהיא מושתתת על הוראות </w:t>
      </w:r>
      <w:r w:rsidR="006E497B">
        <w:rPr>
          <w:rFonts w:ascii="Arial" w:hAnsi="Arial" w:hint="cs"/>
          <w:noProof w:val="0"/>
          <w:rtl/>
        </w:rPr>
        <w:t>סעיף 16 (א) (5) לחוק הבוררות, תשכ"ח-1968 (להלן: "</w:t>
      </w:r>
      <w:r w:rsidR="006E497B" w:rsidRPr="006E497B">
        <w:rPr>
          <w:rFonts w:ascii="Arial" w:hAnsi="Arial" w:hint="cs"/>
          <w:b/>
          <w:bCs/>
          <w:noProof w:val="0"/>
          <w:rtl/>
        </w:rPr>
        <w:t>חוק הבוררות</w:t>
      </w:r>
      <w:r w:rsidR="006E497B">
        <w:rPr>
          <w:rFonts w:ascii="Arial" w:hAnsi="Arial" w:hint="cs"/>
          <w:noProof w:val="0"/>
          <w:rtl/>
        </w:rPr>
        <w:t>"). בבקשתו מיום 2.9.24 טען המבקש, כי "לאחר עיון נוסף בפסיקה" הוא אינו עומד עוד על בקשתו לקבלת הסעד בדרך של אישור החלטת הבורר, אל</w:t>
      </w:r>
      <w:r w:rsidR="005A782E">
        <w:rPr>
          <w:rFonts w:ascii="Arial" w:hAnsi="Arial" w:hint="cs"/>
          <w:noProof w:val="0"/>
          <w:rtl/>
        </w:rPr>
        <w:t>א</w:t>
      </w:r>
      <w:r w:rsidR="006E497B">
        <w:rPr>
          <w:rFonts w:ascii="Arial" w:hAnsi="Arial" w:hint="cs"/>
          <w:noProof w:val="0"/>
          <w:rtl/>
        </w:rPr>
        <w:t xml:space="preserve"> הוא מבקש סעד עצמאי מכוח חוק הבוררות בשילוב עם אמנת ניו-יורק. </w:t>
      </w:r>
    </w:p>
    <w:p w:rsidR="002F5B4D" w:rsidRDefault="005A782E" w:rsidP="005A782E">
      <w:pPr>
        <w:pStyle w:val="ae"/>
        <w:spacing w:line="360" w:lineRule="auto"/>
        <w:jc w:val="both"/>
        <w:rPr>
          <w:rFonts w:ascii="Arial" w:hAnsi="Arial"/>
          <w:noProof w:val="0"/>
        </w:rPr>
      </w:pPr>
      <w:r>
        <w:rPr>
          <w:rFonts w:ascii="Arial" w:hAnsi="Arial" w:hint="cs"/>
          <w:noProof w:val="0"/>
          <w:rtl/>
        </w:rPr>
        <w:t xml:space="preserve">אף </w:t>
      </w:r>
      <w:r w:rsidR="006E497B">
        <w:rPr>
          <w:rFonts w:ascii="Arial" w:hAnsi="Arial" w:hint="cs"/>
          <w:noProof w:val="0"/>
          <w:rtl/>
        </w:rPr>
        <w:t>עמדה זו לא נתמכה בטיעון משפטי הולם ומשכך ניתנה החלטה נוספת המחיי</w:t>
      </w:r>
      <w:r w:rsidR="00C3015D">
        <w:rPr>
          <w:rFonts w:ascii="Arial" w:hAnsi="Arial" w:hint="cs"/>
          <w:noProof w:val="0"/>
          <w:rtl/>
        </w:rPr>
        <w:t>בת את המבקש לתמוך טענותיו בטיעון הולם.</w:t>
      </w:r>
    </w:p>
    <w:p w:rsidR="006E497B" w:rsidRPr="00C3015D" w:rsidRDefault="006E497B" w:rsidP="006E497B">
      <w:pPr>
        <w:pStyle w:val="ae"/>
        <w:rPr>
          <w:rFonts w:ascii="Arial" w:hAnsi="Arial"/>
          <w:noProof w:val="0"/>
          <w:rtl/>
        </w:rPr>
      </w:pPr>
    </w:p>
    <w:p w:rsidR="005A782E" w:rsidRDefault="00C3015D" w:rsidP="005A782E">
      <w:pPr>
        <w:pStyle w:val="ae"/>
        <w:numPr>
          <w:ilvl w:val="0"/>
          <w:numId w:val="1"/>
        </w:numPr>
        <w:spacing w:line="360" w:lineRule="auto"/>
        <w:jc w:val="both"/>
        <w:rPr>
          <w:rFonts w:ascii="Arial" w:hAnsi="Arial"/>
          <w:noProof w:val="0"/>
        </w:rPr>
      </w:pPr>
      <w:r>
        <w:rPr>
          <w:rFonts w:ascii="Arial" w:hAnsi="Arial" w:hint="cs"/>
          <w:noProof w:val="0"/>
          <w:rtl/>
        </w:rPr>
        <w:t xml:space="preserve">מונחת לפניי "הבהרה" ובה טענה לפיה סעיף 3 לאמנת ניו יורק קובע, לכאורה, שהבוררות תתנהל "בהתאם לסדרי הדין של הארץ בה מתנהל ההליך". אליבא דמבקש, מאחר שלפי סדרי הדין בישראל </w:t>
      </w:r>
      <w:r w:rsidR="00107B2C">
        <w:rPr>
          <w:rFonts w:ascii="Arial" w:hAnsi="Arial" w:hint="cs"/>
          <w:noProof w:val="0"/>
          <w:rtl/>
        </w:rPr>
        <w:t>רשאי בית המשפט ליתן צו עיקול בהתאם להוראת סעיף 16 (א) (5) לחוק הב</w:t>
      </w:r>
      <w:r w:rsidR="005A782E">
        <w:rPr>
          <w:rFonts w:ascii="Arial" w:hAnsi="Arial" w:hint="cs"/>
          <w:noProof w:val="0"/>
          <w:rtl/>
        </w:rPr>
        <w:t>ו</w:t>
      </w:r>
      <w:r w:rsidR="00107B2C">
        <w:rPr>
          <w:rFonts w:ascii="Arial" w:hAnsi="Arial" w:hint="cs"/>
          <w:noProof w:val="0"/>
          <w:rtl/>
        </w:rPr>
        <w:t>ררות, אזי יש למזג בין שתי הוראות החוק הנזכרות ולהוציא את צו העיקול ההכרחי.</w:t>
      </w:r>
    </w:p>
    <w:p w:rsidR="005A782E" w:rsidRDefault="005A782E" w:rsidP="005A782E">
      <w:pPr>
        <w:pStyle w:val="ae"/>
        <w:spacing w:line="360" w:lineRule="auto"/>
        <w:jc w:val="both"/>
        <w:rPr>
          <w:rFonts w:ascii="Arial" w:hAnsi="Arial"/>
          <w:noProof w:val="0"/>
        </w:rPr>
      </w:pPr>
    </w:p>
    <w:p w:rsidR="005A782E" w:rsidRDefault="00107B2C" w:rsidP="00413EE7">
      <w:pPr>
        <w:pStyle w:val="ae"/>
        <w:numPr>
          <w:ilvl w:val="0"/>
          <w:numId w:val="1"/>
        </w:numPr>
        <w:spacing w:line="360" w:lineRule="auto"/>
        <w:jc w:val="both"/>
        <w:rPr>
          <w:rFonts w:ascii="Arial" w:hAnsi="Arial"/>
          <w:noProof w:val="0"/>
        </w:rPr>
      </w:pPr>
      <w:r>
        <w:rPr>
          <w:rFonts w:ascii="Arial" w:hAnsi="Arial" w:hint="cs"/>
          <w:noProof w:val="0"/>
          <w:rtl/>
        </w:rPr>
        <w:lastRenderedPageBreak/>
        <w:t xml:space="preserve"> בבקשה ישנה הפנייה לרע"א 102/88 </w:t>
      </w:r>
      <w:r>
        <w:rPr>
          <w:rFonts w:ascii="Arial" w:hAnsi="Arial" w:hint="cs"/>
          <w:b/>
          <w:bCs/>
          <w:noProof w:val="0"/>
          <w:rtl/>
        </w:rPr>
        <w:t xml:space="preserve">מעדני אווז הכסף בע"מ נ' </w:t>
      </w:r>
      <w:r>
        <w:rPr>
          <w:rFonts w:ascii="Arial" w:hAnsi="Arial"/>
          <w:b/>
          <w:bCs/>
          <w:noProof w:val="0"/>
        </w:rPr>
        <w:t>cent or s.a.r.l</w:t>
      </w:r>
      <w:r>
        <w:rPr>
          <w:rFonts w:ascii="Arial" w:hAnsi="Arial" w:hint="cs"/>
          <w:b/>
          <w:bCs/>
          <w:noProof w:val="0"/>
          <w:rtl/>
        </w:rPr>
        <w:t xml:space="preserve">, </w:t>
      </w:r>
      <w:r>
        <w:rPr>
          <w:rFonts w:ascii="Arial" w:hAnsi="Arial" w:hint="cs"/>
          <w:noProof w:val="0"/>
          <w:rtl/>
        </w:rPr>
        <w:t xml:space="preserve">מב (3) 201 </w:t>
      </w:r>
      <w:r w:rsidR="00413EE7">
        <w:rPr>
          <w:rFonts w:ascii="Arial" w:hAnsi="Arial" w:hint="cs"/>
          <w:noProof w:val="0"/>
          <w:rtl/>
        </w:rPr>
        <w:t>(להלן:"</w:t>
      </w:r>
      <w:r w:rsidR="00413EE7">
        <w:rPr>
          <w:rFonts w:ascii="Arial" w:hAnsi="Arial" w:hint="cs"/>
          <w:b/>
          <w:bCs/>
          <w:noProof w:val="0"/>
          <w:rtl/>
        </w:rPr>
        <w:t xml:space="preserve"> </w:t>
      </w:r>
      <w:r w:rsidR="00413EE7" w:rsidRPr="00413EE7">
        <w:rPr>
          <w:rFonts w:ascii="Arial" w:hAnsi="Arial" w:hint="cs"/>
          <w:b/>
          <w:bCs/>
          <w:noProof w:val="0"/>
          <w:rtl/>
        </w:rPr>
        <w:t>פרשת אווז הכסף</w:t>
      </w:r>
      <w:r w:rsidR="00413EE7">
        <w:rPr>
          <w:rFonts w:ascii="Arial" w:hAnsi="Arial" w:hint="cs"/>
          <w:noProof w:val="0"/>
          <w:rtl/>
        </w:rPr>
        <w:t xml:space="preserve">") </w:t>
      </w:r>
      <w:r>
        <w:rPr>
          <w:rFonts w:ascii="Arial" w:hAnsi="Arial" w:hint="cs"/>
          <w:noProof w:val="0"/>
          <w:rtl/>
        </w:rPr>
        <w:t xml:space="preserve">שם נקבע </w:t>
      </w:r>
      <w:r w:rsidR="002E0FF6">
        <w:rPr>
          <w:rFonts w:ascii="Arial" w:hAnsi="Arial" w:hint="cs"/>
          <w:noProof w:val="0"/>
          <w:rtl/>
        </w:rPr>
        <w:t>ש</w:t>
      </w:r>
      <w:r>
        <w:rPr>
          <w:rFonts w:ascii="Arial" w:hAnsi="Arial" w:hint="cs"/>
          <w:noProof w:val="0"/>
          <w:rtl/>
        </w:rPr>
        <w:t xml:space="preserve">למרות שסמכות בית משפט בישראל חלה טריטוריאלית על האנשים והנכסים בארץ, </w:t>
      </w:r>
      <w:r w:rsidR="002E0FF6">
        <w:rPr>
          <w:rFonts w:ascii="Arial" w:hAnsi="Arial" w:hint="cs"/>
          <w:noProof w:val="0"/>
          <w:rtl/>
        </w:rPr>
        <w:t xml:space="preserve">לעיתים ניתן להטיל צו עיקול אף אם חלה על העניין בוררות שנדונה בחו"ל. </w:t>
      </w:r>
    </w:p>
    <w:p w:rsidR="005A782E" w:rsidRDefault="005A782E" w:rsidP="005A782E">
      <w:pPr>
        <w:pStyle w:val="ae"/>
        <w:spacing w:line="360" w:lineRule="auto"/>
        <w:jc w:val="both"/>
        <w:rPr>
          <w:rFonts w:ascii="Arial" w:hAnsi="Arial"/>
          <w:noProof w:val="0"/>
          <w:rtl/>
        </w:rPr>
      </w:pPr>
    </w:p>
    <w:p w:rsidR="002E0FF6" w:rsidRDefault="002E0FF6" w:rsidP="005A782E">
      <w:pPr>
        <w:pStyle w:val="ae"/>
        <w:spacing w:line="360" w:lineRule="auto"/>
        <w:jc w:val="both"/>
        <w:rPr>
          <w:rFonts w:ascii="Arial" w:hAnsi="Arial"/>
          <w:noProof w:val="0"/>
        </w:rPr>
      </w:pPr>
      <w:r>
        <w:rPr>
          <w:rFonts w:ascii="Arial" w:hAnsi="Arial" w:hint="cs"/>
          <w:noProof w:val="0"/>
          <w:rtl/>
        </w:rPr>
        <w:t>ב</w:t>
      </w:r>
      <w:r w:rsidR="005A782E">
        <w:rPr>
          <w:rFonts w:ascii="Arial" w:hAnsi="Arial" w:hint="cs"/>
          <w:noProof w:val="0"/>
          <w:rtl/>
        </w:rPr>
        <w:t>פרשת אווז הכסף</w:t>
      </w:r>
      <w:r>
        <w:rPr>
          <w:rFonts w:ascii="Arial" w:hAnsi="Arial" w:hint="cs"/>
          <w:noProof w:val="0"/>
          <w:rtl/>
        </w:rPr>
        <w:t xml:space="preserve"> נקבע, כי הליך העיקול אף עשוי לסייע לבורר שבחו"ל "</w:t>
      </w:r>
      <w:r w:rsidRPr="005A782E">
        <w:rPr>
          <w:rFonts w:ascii="Arial" w:hAnsi="Arial" w:hint="cs"/>
          <w:b/>
          <w:bCs/>
          <w:noProof w:val="0"/>
          <w:rtl/>
        </w:rPr>
        <w:t>בכל הנוגע למימוש הזכויות, שעה שיכריע הבורר בסוגיה לגופה</w:t>
      </w:r>
      <w:r w:rsidR="005A782E">
        <w:rPr>
          <w:rFonts w:ascii="Arial" w:hAnsi="Arial" w:hint="cs"/>
          <w:noProof w:val="0"/>
          <w:rtl/>
        </w:rPr>
        <w:t>". (עמוד 207</w:t>
      </w:r>
      <w:r>
        <w:rPr>
          <w:rFonts w:ascii="Arial" w:hAnsi="Arial" w:hint="cs"/>
          <w:noProof w:val="0"/>
          <w:rtl/>
        </w:rPr>
        <w:t>). עוד תמך המבקש את הבהרתו ב</w:t>
      </w:r>
      <w:r w:rsidR="002C14D6">
        <w:rPr>
          <w:rFonts w:ascii="Arial" w:hAnsi="Arial" w:hint="cs"/>
          <w:noProof w:val="0"/>
          <w:rtl/>
        </w:rPr>
        <w:t xml:space="preserve">רע"א 6934/10 </w:t>
      </w:r>
      <w:r w:rsidR="002C14D6">
        <w:rPr>
          <w:rFonts w:ascii="Arial" w:hAnsi="Arial" w:hint="cs"/>
          <w:b/>
          <w:bCs/>
          <w:noProof w:val="0"/>
          <w:rtl/>
        </w:rPr>
        <w:t xml:space="preserve">כספי תעופה בע"מ נ' </w:t>
      </w:r>
      <w:r w:rsidR="002C14D6">
        <w:rPr>
          <w:rFonts w:ascii="Arial" w:hAnsi="Arial"/>
          <w:b/>
          <w:bCs/>
          <w:noProof w:val="0"/>
        </w:rPr>
        <w:t>jsc aeroavit airlines</w:t>
      </w:r>
      <w:r w:rsidR="002C14D6">
        <w:rPr>
          <w:rFonts w:ascii="Arial" w:hAnsi="Arial" w:hint="cs"/>
          <w:b/>
          <w:bCs/>
          <w:noProof w:val="0"/>
          <w:rtl/>
        </w:rPr>
        <w:t xml:space="preserve">, </w:t>
      </w:r>
      <w:r w:rsidR="002C14D6" w:rsidRPr="002C14D6">
        <w:rPr>
          <w:rFonts w:ascii="Arial" w:hAnsi="Arial" w:hint="cs"/>
          <w:noProof w:val="0"/>
          <w:rtl/>
        </w:rPr>
        <w:t>(28.10.10</w:t>
      </w:r>
      <w:r w:rsidR="00022BE2">
        <w:rPr>
          <w:rFonts w:ascii="Arial" w:hAnsi="Arial" w:hint="cs"/>
          <w:noProof w:val="0"/>
          <w:rtl/>
        </w:rPr>
        <w:t xml:space="preserve"> להלן: "</w:t>
      </w:r>
      <w:r w:rsidR="00022BE2" w:rsidRPr="00022BE2">
        <w:rPr>
          <w:rFonts w:ascii="Arial" w:hAnsi="Arial" w:hint="cs"/>
          <w:b/>
          <w:bCs/>
          <w:noProof w:val="0"/>
          <w:rtl/>
        </w:rPr>
        <w:t>עניין כספי</w:t>
      </w:r>
      <w:r w:rsidR="00022BE2">
        <w:rPr>
          <w:rFonts w:ascii="Arial" w:hAnsi="Arial" w:hint="cs"/>
          <w:noProof w:val="0"/>
          <w:rtl/>
        </w:rPr>
        <w:t>"</w:t>
      </w:r>
      <w:r w:rsidR="002C14D6" w:rsidRPr="002C14D6">
        <w:rPr>
          <w:rFonts w:ascii="Arial" w:hAnsi="Arial" w:hint="cs"/>
          <w:noProof w:val="0"/>
          <w:rtl/>
        </w:rPr>
        <w:t>)</w:t>
      </w:r>
      <w:r w:rsidR="002C14D6">
        <w:rPr>
          <w:rFonts w:ascii="Arial" w:hAnsi="Arial" w:hint="cs"/>
          <w:noProof w:val="0"/>
          <w:rtl/>
        </w:rPr>
        <w:t>, שם נקבע, כי אין בקיומה של תנית בוררות</w:t>
      </w:r>
      <w:r w:rsidR="005A782E">
        <w:rPr>
          <w:rFonts w:ascii="Arial" w:hAnsi="Arial" w:hint="cs"/>
          <w:noProof w:val="0"/>
          <w:rtl/>
        </w:rPr>
        <w:t>-</w:t>
      </w:r>
      <w:r w:rsidR="002C14D6">
        <w:rPr>
          <w:rFonts w:ascii="Arial" w:hAnsi="Arial" w:hint="cs"/>
          <w:noProof w:val="0"/>
          <w:rtl/>
        </w:rPr>
        <w:t xml:space="preserve">חוץ בהסכם שנכרת בין הצדדים כדי להפקיע את סמכותו של בימ"ש בישראל לתת סעד זמני. </w:t>
      </w:r>
    </w:p>
    <w:p w:rsidR="002C14D6" w:rsidRPr="002C14D6" w:rsidRDefault="002C14D6" w:rsidP="002C14D6">
      <w:pPr>
        <w:pStyle w:val="ae"/>
        <w:rPr>
          <w:rFonts w:ascii="Arial" w:hAnsi="Arial"/>
          <w:noProof w:val="0"/>
          <w:rtl/>
        </w:rPr>
      </w:pPr>
    </w:p>
    <w:p w:rsidR="009226AD" w:rsidRDefault="002C14D6" w:rsidP="00556407">
      <w:pPr>
        <w:pStyle w:val="ae"/>
        <w:numPr>
          <w:ilvl w:val="0"/>
          <w:numId w:val="1"/>
        </w:numPr>
        <w:spacing w:line="360" w:lineRule="auto"/>
        <w:jc w:val="both"/>
        <w:rPr>
          <w:rFonts w:ascii="Arial" w:hAnsi="Arial"/>
          <w:noProof w:val="0"/>
        </w:rPr>
      </w:pPr>
      <w:r w:rsidRPr="0087635B">
        <w:rPr>
          <w:rFonts w:ascii="Arial" w:hAnsi="Arial" w:hint="cs"/>
          <w:noProof w:val="0"/>
          <w:rtl/>
        </w:rPr>
        <w:t>הנה כי כן, המבקש סבור שעמד בנטל השכנוע להציג לפניי טיעון משפטי המאפשר מתן צו עיקול בהתאם להחלטת בורר בניו יורק במסגרת בוררות חוץ.</w:t>
      </w:r>
      <w:r w:rsidR="009226AD" w:rsidRPr="0087635B">
        <w:rPr>
          <w:rFonts w:ascii="Arial" w:hAnsi="Arial" w:hint="cs"/>
          <w:noProof w:val="0"/>
          <w:rtl/>
        </w:rPr>
        <w:t xml:space="preserve"> </w:t>
      </w:r>
      <w:r w:rsidR="0087635B">
        <w:rPr>
          <w:rFonts w:ascii="Arial" w:hAnsi="Arial" w:hint="cs"/>
          <w:noProof w:val="0"/>
          <w:rtl/>
        </w:rPr>
        <w:t>טרם תינתן הכרעה לגוף העניין, אצביע להלן על קושי אפשרי בקבלת עמדת הפסיקה באשר למקרה הנדון.</w:t>
      </w:r>
    </w:p>
    <w:p w:rsidR="0087635B" w:rsidRPr="0087635B" w:rsidRDefault="0087635B" w:rsidP="0087635B">
      <w:pPr>
        <w:pStyle w:val="ae"/>
        <w:spacing w:line="360" w:lineRule="auto"/>
        <w:jc w:val="both"/>
        <w:rPr>
          <w:rFonts w:ascii="Arial" w:hAnsi="Arial"/>
          <w:noProof w:val="0"/>
          <w:rtl/>
        </w:rPr>
      </w:pPr>
    </w:p>
    <w:p w:rsidR="00552FB4" w:rsidRDefault="009226AD" w:rsidP="005E4C4D">
      <w:pPr>
        <w:pStyle w:val="ae"/>
        <w:numPr>
          <w:ilvl w:val="0"/>
          <w:numId w:val="1"/>
        </w:numPr>
        <w:spacing w:line="360" w:lineRule="auto"/>
        <w:jc w:val="both"/>
        <w:rPr>
          <w:rFonts w:ascii="Arial" w:hAnsi="Arial"/>
          <w:noProof w:val="0"/>
        </w:rPr>
      </w:pPr>
      <w:r>
        <w:rPr>
          <w:rFonts w:ascii="Arial" w:hAnsi="Arial" w:hint="cs"/>
          <w:noProof w:val="0"/>
          <w:rtl/>
        </w:rPr>
        <w:t>לשיטתי, כשם שלכאורה למבקש זכות להטיל עיקול על הדירה הר</w:t>
      </w:r>
      <w:r w:rsidR="00FC340E">
        <w:rPr>
          <w:rFonts w:ascii="Arial" w:hAnsi="Arial" w:hint="cs"/>
          <w:noProof w:val="0"/>
          <w:rtl/>
        </w:rPr>
        <w:t xml:space="preserve">שומה על שם המשיבה, הרי </w:t>
      </w:r>
      <w:r w:rsidR="0087635B">
        <w:rPr>
          <w:rFonts w:ascii="Arial" w:hAnsi="Arial" w:hint="cs"/>
          <w:noProof w:val="0"/>
          <w:rtl/>
        </w:rPr>
        <w:t>ש</w:t>
      </w:r>
      <w:r w:rsidR="00FC340E">
        <w:rPr>
          <w:rFonts w:ascii="Arial" w:hAnsi="Arial" w:hint="cs"/>
          <w:noProof w:val="0"/>
          <w:rtl/>
        </w:rPr>
        <w:t xml:space="preserve">למשיבה הזכות לעתור לביטול </w:t>
      </w:r>
      <w:r w:rsidR="00552FB4">
        <w:rPr>
          <w:rFonts w:ascii="Arial" w:hAnsi="Arial" w:hint="cs"/>
          <w:noProof w:val="0"/>
          <w:rtl/>
        </w:rPr>
        <w:t>ה</w:t>
      </w:r>
      <w:r w:rsidR="00FC340E">
        <w:rPr>
          <w:rFonts w:ascii="Arial" w:hAnsi="Arial" w:hint="cs"/>
          <w:noProof w:val="0"/>
          <w:rtl/>
        </w:rPr>
        <w:t xml:space="preserve">עיקול ובית משפט זה יידרש לדון </w:t>
      </w:r>
      <w:r w:rsidR="0087635B">
        <w:rPr>
          <w:rFonts w:ascii="Arial" w:hAnsi="Arial"/>
          <w:noProof w:val="0"/>
        </w:rPr>
        <w:t>D</w:t>
      </w:r>
      <w:r w:rsidR="00FC340E">
        <w:rPr>
          <w:rFonts w:ascii="Arial" w:hAnsi="Arial"/>
          <w:noProof w:val="0"/>
        </w:rPr>
        <w:t>e novo</w:t>
      </w:r>
      <w:r w:rsidR="00FC340E">
        <w:rPr>
          <w:rFonts w:ascii="Arial" w:hAnsi="Arial" w:hint="cs"/>
          <w:noProof w:val="0"/>
          <w:rtl/>
        </w:rPr>
        <w:t xml:space="preserve"> בבקשה (ראו: תקנה 97 (ו) לתקנות סדר הדין האזרחי, תשע"ט-2018). אלא מאי</w:t>
      </w:r>
      <w:r w:rsidR="0087635B">
        <w:rPr>
          <w:rFonts w:ascii="Arial" w:hAnsi="Arial" w:hint="cs"/>
          <w:noProof w:val="0"/>
          <w:rtl/>
        </w:rPr>
        <w:t>-</w:t>
      </w:r>
      <w:r w:rsidR="00FC340E">
        <w:rPr>
          <w:rFonts w:ascii="Arial" w:hAnsi="Arial" w:hint="cs"/>
          <w:noProof w:val="0"/>
          <w:rtl/>
        </w:rPr>
        <w:t>י</w:t>
      </w:r>
      <w:r w:rsidR="0087635B">
        <w:rPr>
          <w:rFonts w:ascii="Arial" w:hAnsi="Arial" w:hint="cs"/>
          <w:noProof w:val="0"/>
          <w:rtl/>
        </w:rPr>
        <w:t>י</w:t>
      </w:r>
      <w:r w:rsidR="00FC340E">
        <w:rPr>
          <w:rFonts w:ascii="Arial" w:hAnsi="Arial" w:hint="cs"/>
          <w:noProof w:val="0"/>
          <w:rtl/>
        </w:rPr>
        <w:t>ת</w:t>
      </w:r>
      <w:r w:rsidR="0087635B">
        <w:rPr>
          <w:rFonts w:ascii="Arial" w:hAnsi="Arial" w:hint="cs"/>
          <w:noProof w:val="0"/>
          <w:rtl/>
        </w:rPr>
        <w:t>כן</w:t>
      </w:r>
      <w:r w:rsidR="00FC340E">
        <w:rPr>
          <w:rFonts w:ascii="Arial" w:hAnsi="Arial" w:hint="cs"/>
          <w:noProof w:val="0"/>
          <w:rtl/>
        </w:rPr>
        <w:t xml:space="preserve"> </w:t>
      </w:r>
      <w:r w:rsidR="0087635B">
        <w:rPr>
          <w:rFonts w:ascii="Arial" w:hAnsi="Arial" w:hint="cs"/>
          <w:noProof w:val="0"/>
          <w:rtl/>
        </w:rPr>
        <w:t>ש</w:t>
      </w:r>
      <w:r w:rsidR="005A782E">
        <w:rPr>
          <w:rFonts w:ascii="Arial" w:hAnsi="Arial" w:hint="cs"/>
          <w:noProof w:val="0"/>
          <w:rtl/>
        </w:rPr>
        <w:t>יתעורר קושי</w:t>
      </w:r>
      <w:r w:rsidR="00FC340E">
        <w:rPr>
          <w:rFonts w:ascii="Arial" w:hAnsi="Arial" w:hint="cs"/>
          <w:noProof w:val="0"/>
          <w:rtl/>
        </w:rPr>
        <w:t xml:space="preserve"> לבחון כלל את תביעת המבקש המתנהלת בניו-יורק מחמת בוררות החוץ המתנהלת בפני הבורר הנכבד-ק</w:t>
      </w:r>
      <w:r w:rsidR="00133E52">
        <w:rPr>
          <w:rFonts w:ascii="Arial" w:hAnsi="Arial" w:hint="cs"/>
          <w:noProof w:val="0"/>
          <w:rtl/>
        </w:rPr>
        <w:t>'</w:t>
      </w:r>
      <w:r w:rsidR="00FC340E">
        <w:rPr>
          <w:rFonts w:ascii="Arial" w:hAnsi="Arial" w:hint="cs"/>
          <w:noProof w:val="0"/>
          <w:rtl/>
        </w:rPr>
        <w:t xml:space="preserve">. </w:t>
      </w:r>
      <w:r w:rsidR="00552FB4">
        <w:rPr>
          <w:rFonts w:ascii="Arial" w:hAnsi="Arial" w:hint="cs"/>
          <w:noProof w:val="0"/>
          <w:rtl/>
        </w:rPr>
        <w:t xml:space="preserve">האם בית משפט זה רשאי לקבוע שהמבקש הציג </w:t>
      </w:r>
      <w:r w:rsidR="0087635B">
        <w:rPr>
          <w:rFonts w:ascii="Arial" w:hAnsi="Arial" w:hint="cs"/>
          <w:noProof w:val="0"/>
          <w:rtl/>
        </w:rPr>
        <w:t>"</w:t>
      </w:r>
      <w:r w:rsidR="005A782E">
        <w:rPr>
          <w:rFonts w:ascii="Arial" w:hAnsi="Arial" w:hint="cs"/>
          <w:b/>
          <w:bCs/>
          <w:noProof w:val="0"/>
          <w:rtl/>
        </w:rPr>
        <w:t>ראיות מספקות</w:t>
      </w:r>
      <w:r w:rsidR="005A782E">
        <w:rPr>
          <w:rFonts w:ascii="Arial" w:hAnsi="Arial" w:hint="cs"/>
          <w:noProof w:val="0"/>
          <w:rtl/>
        </w:rPr>
        <w:t>" (תקנה 97 (א) לתקנות סדר הדין)</w:t>
      </w:r>
      <w:r w:rsidR="0087635B">
        <w:rPr>
          <w:rFonts w:ascii="Arial" w:hAnsi="Arial" w:hint="cs"/>
          <w:noProof w:val="0"/>
          <w:rtl/>
        </w:rPr>
        <w:t>,</w:t>
      </w:r>
      <w:r w:rsidR="00552FB4">
        <w:rPr>
          <w:rFonts w:ascii="Arial" w:hAnsi="Arial" w:hint="cs"/>
          <w:noProof w:val="0"/>
          <w:rtl/>
        </w:rPr>
        <w:t xml:space="preserve"> לקיומה של עילת תביעה? אם כן, האם </w:t>
      </w:r>
      <w:r w:rsidR="00552FB4">
        <w:rPr>
          <w:rFonts w:ascii="Arial" w:hAnsi="Arial" w:hint="cs"/>
          <w:noProof w:val="0"/>
          <w:rtl/>
        </w:rPr>
        <w:lastRenderedPageBreak/>
        <w:t>קביעה זו היא על בסיס הדין שחל בבית הדין "</w:t>
      </w:r>
      <w:r w:rsidR="00133E52">
        <w:rPr>
          <w:rFonts w:ascii="Arial" w:hAnsi="Arial" w:hint="cs"/>
          <w:noProof w:val="0"/>
        </w:rPr>
        <w:t>XY</w:t>
      </w:r>
      <w:r w:rsidR="00552FB4">
        <w:rPr>
          <w:rFonts w:ascii="Arial" w:hAnsi="Arial" w:hint="cs"/>
          <w:noProof w:val="0"/>
          <w:rtl/>
        </w:rPr>
        <w:t>"?</w:t>
      </w:r>
      <w:r w:rsidR="005F19D7">
        <w:rPr>
          <w:rFonts w:ascii="Arial" w:hAnsi="Arial" w:hint="cs"/>
          <w:noProof w:val="0"/>
          <w:rtl/>
        </w:rPr>
        <w:t xml:space="preserve"> מעבר לכך</w:t>
      </w:r>
      <w:r w:rsidR="00133E52">
        <w:rPr>
          <w:rFonts w:ascii="Arial" w:hAnsi="Arial" w:hint="cs"/>
          <w:noProof w:val="0"/>
          <w:rtl/>
        </w:rPr>
        <w:t>, שעה שהצדדים מתגוררים ב</w:t>
      </w:r>
      <w:r w:rsidR="005E4C4D">
        <w:rPr>
          <w:rFonts w:ascii="Arial" w:hAnsi="Arial" w:hint="cs"/>
          <w:noProof w:val="0"/>
          <w:rtl/>
        </w:rPr>
        <w:t>עיר נ' שבא</w:t>
      </w:r>
      <w:r w:rsidR="00133E52">
        <w:rPr>
          <w:rFonts w:ascii="Arial" w:hAnsi="Arial" w:hint="cs"/>
          <w:noProof w:val="0"/>
          <w:rtl/>
        </w:rPr>
        <w:t>'</w:t>
      </w:r>
      <w:r w:rsidR="005F19D7">
        <w:rPr>
          <w:rFonts w:ascii="Arial" w:hAnsi="Arial" w:hint="cs"/>
          <w:noProof w:val="0"/>
          <w:rtl/>
        </w:rPr>
        <w:t xml:space="preserve"> ומתדיינים בבוררות בבית הדין "</w:t>
      </w:r>
      <w:r w:rsidR="00133E52">
        <w:rPr>
          <w:rFonts w:ascii="Arial" w:hAnsi="Arial" w:hint="cs"/>
          <w:noProof w:val="0"/>
        </w:rPr>
        <w:t>XY</w:t>
      </w:r>
      <w:r w:rsidR="005F19D7">
        <w:rPr>
          <w:rFonts w:ascii="Arial" w:hAnsi="Arial" w:hint="cs"/>
          <w:noProof w:val="0"/>
          <w:rtl/>
        </w:rPr>
        <w:t xml:space="preserve">", ניהול הליך העיקול בארץ </w:t>
      </w:r>
      <w:r w:rsidR="0087635B">
        <w:rPr>
          <w:rFonts w:ascii="Arial" w:hAnsi="Arial" w:hint="cs"/>
          <w:noProof w:val="0"/>
          <w:rtl/>
        </w:rPr>
        <w:t>עלול לה</w:t>
      </w:r>
      <w:r w:rsidR="005F19D7">
        <w:rPr>
          <w:rFonts w:ascii="Arial" w:hAnsi="Arial" w:hint="cs"/>
          <w:noProof w:val="0"/>
          <w:rtl/>
        </w:rPr>
        <w:t>וביל לפיצול הדין ויקשה מאוד על שניהם להתדיין גם בארץ (בקשה לביטול עיקול) וגם ב</w:t>
      </w:r>
      <w:r w:rsidR="005E4C4D">
        <w:rPr>
          <w:rFonts w:ascii="Arial" w:hAnsi="Arial" w:hint="cs"/>
          <w:noProof w:val="0"/>
          <w:rtl/>
        </w:rPr>
        <w:t>א</w:t>
      </w:r>
      <w:r w:rsidR="00133E52">
        <w:rPr>
          <w:rFonts w:ascii="Arial" w:hAnsi="Arial" w:hint="cs"/>
          <w:noProof w:val="0"/>
          <w:rtl/>
        </w:rPr>
        <w:t>'</w:t>
      </w:r>
      <w:r w:rsidR="005F19D7">
        <w:rPr>
          <w:rFonts w:ascii="Arial" w:hAnsi="Arial" w:hint="cs"/>
          <w:noProof w:val="0"/>
          <w:rtl/>
        </w:rPr>
        <w:t>.</w:t>
      </w:r>
    </w:p>
    <w:p w:rsidR="00552FB4" w:rsidRPr="00133E52" w:rsidRDefault="00552FB4" w:rsidP="00552FB4">
      <w:pPr>
        <w:pStyle w:val="ae"/>
        <w:spacing w:line="360" w:lineRule="auto"/>
        <w:jc w:val="both"/>
        <w:rPr>
          <w:rFonts w:ascii="Arial" w:hAnsi="Arial"/>
          <w:noProof w:val="0"/>
        </w:rPr>
      </w:pPr>
    </w:p>
    <w:p w:rsidR="00552FB4" w:rsidRDefault="005F19D7" w:rsidP="00022BE2">
      <w:pPr>
        <w:pStyle w:val="ae"/>
        <w:numPr>
          <w:ilvl w:val="0"/>
          <w:numId w:val="1"/>
        </w:numPr>
        <w:spacing w:line="360" w:lineRule="auto"/>
        <w:jc w:val="both"/>
        <w:rPr>
          <w:rFonts w:ascii="Arial" w:hAnsi="Arial"/>
          <w:noProof w:val="0"/>
        </w:rPr>
      </w:pPr>
      <w:r>
        <w:rPr>
          <w:rFonts w:ascii="Arial" w:hAnsi="Arial" w:hint="cs"/>
          <w:noProof w:val="0"/>
          <w:rtl/>
        </w:rPr>
        <w:t xml:space="preserve">על אף שני פסק הדין אליהם הפנה המבקש בהבהרתו, בפסיקה נשמע קול אחר באשר לסוגיה שעל הפרק. </w:t>
      </w:r>
      <w:r w:rsidR="009035A1">
        <w:rPr>
          <w:rFonts w:ascii="Arial" w:hAnsi="Arial" w:hint="cs"/>
          <w:noProof w:val="0"/>
          <w:rtl/>
        </w:rPr>
        <w:t xml:space="preserve">בבש"א (חי') 6414/03 </w:t>
      </w:r>
      <w:r w:rsidR="009035A1" w:rsidRPr="00022BE2">
        <w:rPr>
          <w:rFonts w:ascii="Arial" w:hAnsi="Arial" w:hint="cs"/>
          <w:b/>
          <w:bCs/>
          <w:noProof w:val="0"/>
          <w:sz w:val="20"/>
          <w:szCs w:val="20"/>
        </w:rPr>
        <w:t>BEEMSTERBOER</w:t>
      </w:r>
      <w:r w:rsidR="009035A1" w:rsidRPr="00022BE2">
        <w:rPr>
          <w:rFonts w:ascii="Arial" w:hAnsi="Arial" w:hint="cs"/>
          <w:b/>
          <w:bCs/>
          <w:noProof w:val="0"/>
          <w:sz w:val="20"/>
          <w:szCs w:val="20"/>
          <w:rtl/>
        </w:rPr>
        <w:t xml:space="preserve"> נ</w:t>
      </w:r>
      <w:r w:rsidR="009035A1" w:rsidRPr="00022BE2">
        <w:rPr>
          <w:rFonts w:ascii="Arial" w:hAnsi="Arial" w:hint="cs"/>
          <w:b/>
          <w:bCs/>
          <w:noProof w:val="0"/>
          <w:rtl/>
        </w:rPr>
        <w:t>' קורניש חן 1987 בע"מ</w:t>
      </w:r>
      <w:r w:rsidR="009035A1">
        <w:rPr>
          <w:rFonts w:ascii="Arial" w:hAnsi="Arial" w:hint="cs"/>
          <w:noProof w:val="0"/>
          <w:rtl/>
        </w:rPr>
        <w:t xml:space="preserve"> (27.11.03)  </w:t>
      </w:r>
      <w:r>
        <w:rPr>
          <w:rFonts w:ascii="Arial" w:hAnsi="Arial" w:hint="cs"/>
          <w:noProof w:val="0"/>
          <w:rtl/>
        </w:rPr>
        <w:t xml:space="preserve">השופט </w:t>
      </w:r>
      <w:r w:rsidR="009035A1">
        <w:rPr>
          <w:rFonts w:ascii="Arial" w:hAnsi="Arial" w:hint="cs"/>
          <w:noProof w:val="0"/>
          <w:rtl/>
        </w:rPr>
        <w:t>שפירא</w:t>
      </w:r>
      <w:r>
        <w:rPr>
          <w:rFonts w:ascii="Arial" w:hAnsi="Arial" w:hint="cs"/>
          <w:noProof w:val="0"/>
          <w:rtl/>
        </w:rPr>
        <w:t xml:space="preserve"> </w:t>
      </w:r>
      <w:r w:rsidR="009035A1">
        <w:rPr>
          <w:rFonts w:ascii="Arial" w:hAnsi="Arial" w:hint="cs"/>
          <w:noProof w:val="0"/>
          <w:rtl/>
        </w:rPr>
        <w:t xml:space="preserve">סבר שמדובר ב"מחלוקת בין הפוסקים" ובפסק-דינו אומצה הגישה שנקבעה ברע"א 5805/90 </w:t>
      </w:r>
      <w:r w:rsidR="009035A1">
        <w:rPr>
          <w:rFonts w:ascii="Arial" w:hAnsi="Arial" w:hint="cs"/>
          <w:b/>
          <w:bCs/>
          <w:noProof w:val="0"/>
          <w:rtl/>
        </w:rPr>
        <w:t>רוט נ' אינטרקונטיננטל קרדיט קורפוריישן ניו יורק</w:t>
      </w:r>
      <w:r w:rsidR="009035A1">
        <w:rPr>
          <w:rFonts w:ascii="Arial" w:hAnsi="Arial" w:hint="cs"/>
          <w:noProof w:val="0"/>
          <w:rtl/>
        </w:rPr>
        <w:t xml:space="preserve"> </w:t>
      </w:r>
      <w:r w:rsidR="00022BE2">
        <w:rPr>
          <w:rFonts w:ascii="Arial" w:hAnsi="Arial" w:hint="cs"/>
          <w:noProof w:val="0"/>
          <w:rtl/>
        </w:rPr>
        <w:t>פד מה (3) 045</w:t>
      </w:r>
      <w:r w:rsidR="005E4C4D">
        <w:rPr>
          <w:rFonts w:ascii="Arial" w:hAnsi="Arial" w:hint="cs"/>
          <w:noProof w:val="0"/>
          <w:rtl/>
        </w:rPr>
        <w:t>,</w:t>
      </w:r>
      <w:r w:rsidR="00022BE2">
        <w:rPr>
          <w:rFonts w:ascii="Arial" w:hAnsi="Arial" w:hint="cs"/>
          <w:noProof w:val="0"/>
          <w:rtl/>
        </w:rPr>
        <w:t xml:space="preserve"> לפיה לא נותנים לבעל דין סעד זמני אלא בגדר תובענה שהוגשה, המגלה עילה. </w:t>
      </w:r>
    </w:p>
    <w:p w:rsidR="002C14D6" w:rsidRPr="002C14D6" w:rsidRDefault="002C14D6" w:rsidP="002C14D6">
      <w:pPr>
        <w:pStyle w:val="ae"/>
        <w:rPr>
          <w:rFonts w:ascii="Arial" w:hAnsi="Arial"/>
          <w:noProof w:val="0"/>
          <w:rtl/>
        </w:rPr>
      </w:pPr>
    </w:p>
    <w:p w:rsidR="002C14D6" w:rsidRDefault="00022BE2" w:rsidP="00D259ED">
      <w:pPr>
        <w:pStyle w:val="ae"/>
        <w:numPr>
          <w:ilvl w:val="0"/>
          <w:numId w:val="1"/>
        </w:numPr>
        <w:spacing w:line="360" w:lineRule="auto"/>
        <w:jc w:val="both"/>
        <w:rPr>
          <w:rFonts w:ascii="Arial" w:hAnsi="Arial"/>
          <w:noProof w:val="0"/>
        </w:rPr>
      </w:pPr>
      <w:r>
        <w:rPr>
          <w:rFonts w:ascii="Arial" w:hAnsi="Arial" w:hint="cs"/>
          <w:noProof w:val="0"/>
          <w:rtl/>
        </w:rPr>
        <w:t>מאידך גיסא, נחזה שפסק הדין בעניין כספי</w:t>
      </w:r>
      <w:r w:rsidR="00D259ED">
        <w:rPr>
          <w:rFonts w:ascii="Arial" w:hAnsi="Arial" w:hint="cs"/>
          <w:noProof w:val="0"/>
          <w:rtl/>
        </w:rPr>
        <w:t xml:space="preserve"> קובע שככל שקיימת תניית בוררות-חוץ בין הצדדים, עדיין לבית המשפט סמכות להעניק סעד זמני וסמכות זו נובעת בין היתר מן העיקרון לפיו לערכאה הדיונית מוקנה שיקול דעת רחב בכל הנוגע למתן סעדים זמניים ובכלל צווי עיקול זמניים.</w:t>
      </w:r>
    </w:p>
    <w:p w:rsidR="00D259ED" w:rsidRPr="00D259ED" w:rsidRDefault="00D259ED" w:rsidP="00D259ED">
      <w:pPr>
        <w:pStyle w:val="ae"/>
        <w:rPr>
          <w:rFonts w:ascii="Arial" w:hAnsi="Arial"/>
          <w:noProof w:val="0"/>
          <w:rtl/>
        </w:rPr>
      </w:pPr>
    </w:p>
    <w:p w:rsidR="00D259ED" w:rsidRDefault="00D259ED" w:rsidP="00413EE7">
      <w:pPr>
        <w:pStyle w:val="ae"/>
        <w:numPr>
          <w:ilvl w:val="0"/>
          <w:numId w:val="1"/>
        </w:numPr>
        <w:spacing w:line="360" w:lineRule="auto"/>
        <w:jc w:val="both"/>
        <w:rPr>
          <w:rFonts w:ascii="Arial" w:hAnsi="Arial"/>
          <w:noProof w:val="0"/>
        </w:rPr>
      </w:pPr>
      <w:r>
        <w:rPr>
          <w:rFonts w:ascii="Arial" w:hAnsi="Arial" w:hint="cs"/>
          <w:noProof w:val="0"/>
          <w:rtl/>
        </w:rPr>
        <w:t xml:space="preserve">במקרה שלפניי, קיים צו עיקול שניתנת במסגרת בוררות-חוץ. שיקול הדעת מטה את הכף לשם הטלת העיקול , שכן במבחן מאזן הנוחות הכף נוטה לכיוון המבקש. </w:t>
      </w:r>
      <w:r w:rsidR="00413EE7">
        <w:rPr>
          <w:rFonts w:ascii="Arial" w:hAnsi="Arial" w:hint="cs"/>
          <w:noProof w:val="0"/>
          <w:rtl/>
        </w:rPr>
        <w:t>עמדה זו משתלבת אף בהלכה שנקבע בפרשת אווז הכסף שם נקבע שצו העיקול עשוי לסייע לבורר בכל הנוגע להמשך הליך הבוררות שבין הצדדים ולבל יהפך פסק דינו לתיאורטי, ככל שאכן הדירה תימכר והכספים יוברחו.</w:t>
      </w:r>
    </w:p>
    <w:p w:rsidR="00413EE7" w:rsidRPr="00413EE7" w:rsidRDefault="00413EE7" w:rsidP="00413EE7">
      <w:pPr>
        <w:pStyle w:val="ae"/>
        <w:rPr>
          <w:rFonts w:ascii="Arial" w:hAnsi="Arial"/>
          <w:noProof w:val="0"/>
          <w:rtl/>
        </w:rPr>
      </w:pPr>
    </w:p>
    <w:p w:rsidR="00413EE7" w:rsidRDefault="00413EE7" w:rsidP="00413EE7">
      <w:pPr>
        <w:pStyle w:val="ae"/>
        <w:numPr>
          <w:ilvl w:val="0"/>
          <w:numId w:val="1"/>
        </w:numPr>
        <w:spacing w:line="360" w:lineRule="auto"/>
        <w:jc w:val="both"/>
        <w:rPr>
          <w:rFonts w:ascii="Arial" w:hAnsi="Arial"/>
          <w:noProof w:val="0"/>
        </w:rPr>
      </w:pPr>
      <w:r>
        <w:rPr>
          <w:rFonts w:ascii="Arial" w:hAnsi="Arial" w:hint="cs"/>
          <w:noProof w:val="0"/>
          <w:rtl/>
        </w:rPr>
        <w:lastRenderedPageBreak/>
        <w:t xml:space="preserve">סיכומו של דבר-לאחר חשיבה ושקילה-דין בקשת המבקש להתקבל. </w:t>
      </w:r>
    </w:p>
    <w:p w:rsidR="00413EE7" w:rsidRPr="00413EE7" w:rsidRDefault="00413EE7" w:rsidP="00413EE7">
      <w:pPr>
        <w:pStyle w:val="ae"/>
        <w:rPr>
          <w:rFonts w:ascii="Arial" w:hAnsi="Arial"/>
          <w:noProof w:val="0"/>
          <w:rtl/>
        </w:rPr>
      </w:pPr>
    </w:p>
    <w:p w:rsidR="00413EE7" w:rsidRDefault="00E66BCC" w:rsidP="00413EE7">
      <w:pPr>
        <w:pStyle w:val="ae"/>
        <w:numPr>
          <w:ilvl w:val="0"/>
          <w:numId w:val="1"/>
        </w:numPr>
        <w:spacing w:line="360" w:lineRule="auto"/>
        <w:jc w:val="both"/>
        <w:rPr>
          <w:rFonts w:ascii="Arial" w:hAnsi="Arial"/>
          <w:noProof w:val="0"/>
        </w:rPr>
      </w:pPr>
      <w:r>
        <w:rPr>
          <w:rFonts w:ascii="Arial" w:hAnsi="Arial" w:hint="cs"/>
          <w:noProof w:val="0"/>
          <w:rtl/>
        </w:rPr>
        <w:t>החלטה בדבר הטלת צו העיקול תינתן במסגרת החלטה נפרדת.</w:t>
      </w:r>
    </w:p>
    <w:p w:rsidR="00E66BCC" w:rsidRPr="00E66BCC" w:rsidRDefault="00E66BCC" w:rsidP="00E66BCC">
      <w:pPr>
        <w:rPr>
          <w:rFonts w:ascii="Arial" w:hAnsi="Arial"/>
          <w:noProof w:val="0"/>
          <w:rtl/>
        </w:rPr>
      </w:pPr>
    </w:p>
    <w:p w:rsidR="00E66BCC" w:rsidRPr="00E66BCC" w:rsidRDefault="00E66BCC" w:rsidP="00E66BCC">
      <w:pPr>
        <w:rPr>
          <w:rFonts w:ascii="Arial" w:hAnsi="Arial"/>
          <w:b/>
          <w:bCs/>
          <w:noProof w:val="0"/>
          <w:rtl/>
        </w:rPr>
      </w:pPr>
      <w:r w:rsidRPr="00E66BCC">
        <w:rPr>
          <w:rFonts w:ascii="Arial" w:hAnsi="Arial" w:hint="cs"/>
          <w:b/>
          <w:bCs/>
          <w:noProof w:val="0"/>
          <w:rtl/>
        </w:rPr>
        <w:t>החלטה זו ניתנת לפרסום ללא פרטי הצדדים</w:t>
      </w:r>
      <w:r>
        <w:rPr>
          <w:rFonts w:ascii="Arial" w:hAnsi="Arial" w:hint="cs"/>
          <w:b/>
          <w:bCs/>
          <w:noProof w:val="0"/>
          <w:rtl/>
        </w:rPr>
        <w:t xml:space="preserve"> ולאחר המצאתה לידי המשיבה.</w:t>
      </w:r>
    </w:p>
    <w:p w:rsidR="002914D6" w:rsidRDefault="002914D6">
      <w:pPr>
        <w:spacing w:line="360" w:lineRule="auto"/>
        <w:jc w:val="both"/>
        <w:rPr>
          <w:rFonts w:ascii="Arial" w:hAnsi="Arial"/>
          <w:noProof w:val="0"/>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ל' אב תשפ"ד</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03 ספטמבר 2024</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336769381"/>
        </w:sdtPr>
        <w:sdtEndPr/>
        <w:sdtContent>
          <w:r w:rsidR="00133E52">
            <w:drawing>
              <wp:inline distT="0" distB="0" distL="0" distR="0" wp14:editId="50D07946">
                <wp:extent cx="1028700" cy="1085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28700" cy="1085850"/>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1"/>
      <w:footerReference w:type="default" r:id="rId12"/>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4A12" w:rsidRDefault="00764A12">
      <w:r>
        <w:separator/>
      </w:r>
    </w:p>
  </w:endnote>
  <w:endnote w:type="continuationSeparator" w:id="0">
    <w:p w:rsidR="00764A12" w:rsidRDefault="00764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EA55F7">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EA55F7">
      <w:rPr>
        <w:rStyle w:val="ab"/>
        <w:rtl/>
      </w:rPr>
      <w:t>1</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4A12" w:rsidRDefault="00764A12">
      <w:r>
        <w:separator/>
      </w:r>
    </w:p>
  </w:footnote>
  <w:footnote w:type="continuationSeparator" w:id="0">
    <w:p w:rsidR="00764A12" w:rsidRDefault="00764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07"/>
      <w:gridCol w:w="3598"/>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03 ספטמבר 2024</w:t>
              </w:r>
            </w:p>
          </w:tc>
        </w:sdtContent>
      </w:sdt>
    </w:tr>
    <w:tr w:rsidR="002914D6">
      <w:trPr>
        <w:trHeight w:val="337"/>
        <w:jc w:val="center"/>
      </w:trPr>
      <w:tc>
        <w:tcPr>
          <w:tcW w:w="8721" w:type="dxa"/>
          <w:gridSpan w:val="2"/>
        </w:tcPr>
        <w:p w:rsidR="002914D6" w:rsidRDefault="00764A12" w:rsidP="00F06DB7">
          <w:pPr>
            <w:rPr>
              <w:b/>
              <w:bCs/>
              <w:noProof w:val="0"/>
              <w:sz w:val="26"/>
              <w:szCs w:val="26"/>
              <w:rtl/>
            </w:rPr>
          </w:pPr>
          <w:sdt>
            <w:sdtPr>
              <w:rPr>
                <w:rtl/>
              </w:rPr>
              <w:alias w:val="1170"/>
              <w:tag w:val="1170"/>
              <w:id w:val="632838173"/>
              <w:text w:multiLine="1"/>
            </w:sdtPr>
            <w:sdtEndPr/>
            <w:sdtContent>
              <w:r w:rsidR="00CC29C2">
                <w:rPr>
                  <w:b/>
                  <w:bCs/>
                  <w:noProof w:val="0"/>
                  <w:sz w:val="26"/>
                  <w:szCs w:val="26"/>
                  <w:rtl/>
                </w:rPr>
                <w:t>בע"ק</w:t>
              </w:r>
            </w:sdtContent>
          </w:sdt>
          <w:r w:rsidR="00011212">
            <w:rPr>
              <w:b/>
              <w:bCs/>
              <w:noProof w:val="0"/>
              <w:sz w:val="26"/>
              <w:szCs w:val="26"/>
              <w:rtl/>
            </w:rPr>
            <w:t xml:space="preserve"> </w:t>
          </w:r>
          <w:sdt>
            <w:sdtPr>
              <w:rPr>
                <w:rtl/>
              </w:rPr>
              <w:alias w:val="1171"/>
              <w:tag w:val="1171"/>
              <w:id w:val="-1684506308"/>
              <w:text w:multiLine="1"/>
            </w:sdtPr>
            <w:sdtEndPr/>
            <w:sdtContent>
              <w:r w:rsidR="00CC29C2">
                <w:rPr>
                  <w:b/>
                  <w:bCs/>
                  <w:noProof w:val="0"/>
                  <w:sz w:val="26"/>
                  <w:szCs w:val="26"/>
                  <w:rtl/>
                </w:rPr>
                <w:t>71107-08-24</w:t>
              </w:r>
            </w:sdtContent>
          </w:sdt>
          <w:r w:rsidR="00F06DB7">
            <w:rPr>
              <w:rFonts w:hint="cs"/>
              <w:b/>
              <w:bCs/>
              <w:noProof w:val="0"/>
              <w:sz w:val="26"/>
              <w:szCs w:val="26"/>
              <w:rtl/>
            </w:rPr>
            <w:t xml:space="preserve"> ר' נ' ר'</w:t>
          </w:r>
        </w:p>
        <w:p w:rsidR="002914D6" w:rsidRDefault="002914D6">
          <w:pPr>
            <w:rPr>
              <w:rtl/>
            </w:rPr>
          </w:pPr>
        </w:p>
        <w:p w:rsidR="00CE0603" w:rsidRDefault="00CE0603">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560C79"/>
    <w:multiLevelType w:val="hybridMultilevel"/>
    <w:tmpl w:val="70944C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1672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916728&amp;lt;/CaseID&amp;gt;_x000d__x000a_        &amp;lt;CaseMonth&amp;gt;8&amp;lt;/CaseMonth&amp;gt;_x000d__x000a_        &amp;lt;CaseYear&amp;gt;2024&amp;lt;/CaseYear&amp;gt;_x000d__x000a_        &amp;lt;CaseNumber&amp;gt;71107&amp;lt;/CaseNumber&amp;gt;_x000d__x000a_        &amp;lt;NumeratorGroupID&amp;gt;1&amp;lt;/NumeratorGroupID&amp;gt;_x000d__x000a_        &amp;lt;CaseName&amp;gt;רייך נ&amp;#39; רייך&amp;lt;/CaseName&amp;gt;_x000d__x000a_        &amp;lt;CourtID&amp;gt;30&amp;lt;/CourtID&amp;gt;_x000d__x000a_        &amp;lt;CaseTypeID&amp;gt;10181&amp;lt;/CaseTypeID&amp;gt;_x000d__x000a_        &amp;lt;CaseInterestID&amp;gt;10295&amp;lt;/CaseInterestID&amp;gt;_x000d__x000a_        &amp;lt;CaseJudgeName&amp;gt;ערן אביטל&amp;lt;/CaseJudgeName&amp;gt;_x000d__x000a_        &amp;lt;ProcedureID&amp;gt;1&amp;lt;/ProcedureID&amp;gt;_x000d__x000a_        &amp;lt;CaseStatusID&amp;gt;2&amp;lt;/CaseStatusID&amp;gt;_x000d__x000a_        &amp;lt;ProceedingID&amp;gt;3&amp;lt;/ProceedingID&amp;gt;_x000d__x000a_        &amp;lt;IsCaseLinked&amp;gt;false&amp;lt;/IsCaseLinked&amp;gt;_x000d__x000a_        &amp;lt;PrivilegeID&amp;gt;5&amp;lt;/PrivilegeID&amp;gt;_x000d__x000a_        &amp;lt;IsAppealingCaseExist&amp;gt;false&amp;lt;/IsAppealingCaseExist&amp;gt;_x000d__x000a_        &amp;lt;CaseDisplayIdentifier&amp;gt;71107-08-24&amp;lt;/CaseDisplayIdentifier&amp;gt;_x000d__x000a_        &amp;lt;CaseTypeDesc&amp;gt;בע&amp;quot;ק&amp;lt;/CaseTypeDesc&amp;gt;_x000d__x000a_        &amp;lt;CourtDesc&amp;gt;שלום ירושלים&amp;lt;/CourtDesc&amp;gt;_x000d__x000a_        &amp;lt;CaseStageDesc&amp;gt;תיק אלקטרוני&amp;lt;/CaseStageDesc&amp;gt;_x000d__x000a_        &amp;lt;IsUnpaidFeeExist&amp;gt;false&amp;lt;/IsUnpaidFeeExist&amp;gt;_x000d__x000a_        &amp;lt;CaseOpenDate&amp;gt;2024-08-29T16:03:00+03:00&amp;lt;/CaseOpenDate&amp;gt;_x000d__x000a_        &amp;lt;PleaTypeID&amp;gt;4&amp;lt;/PleaTypeID&amp;gt;_x000d__x000a_        &amp;lt;CourtLevelID&amp;gt;1&amp;lt;/CourtLevelID&amp;gt;_x000d__x000a_        &amp;lt;CourtLevelCaseTypeInterestID&amp;gt;1065&amp;lt;/CourtLevelCaseTypeInterestID&amp;gt;_x000d__x000a_        &amp;lt;CaseJudgeFirstName&amp;gt;ערן&amp;lt;/CaseJudgeFirstName&amp;gt;_x000d__x000a_        &amp;lt;CaseJudgeLastName&amp;gt;אביטל&amp;lt;/CaseJudgeLastName&amp;gt;_x000d__x000a_        &amp;lt;JudicalPersonID&amp;gt;032405243@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CaseDesc /&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916728&amp;lt;/CaseID&amp;gt;_x000d__x000a_        &amp;lt;CaseMonth&amp;gt;8&amp;lt;/CaseMonth&amp;gt;_x000d__x000a_        &amp;lt;CaseYear&amp;gt;2024&amp;lt;/CaseYear&amp;gt;_x000d__x000a_        &amp;lt;CaseNumber&amp;gt;71107&amp;lt;/CaseNumber&amp;gt;_x000d__x000a_        &amp;lt;NumeratorGroupID&amp;gt;1&amp;lt;/NumeratorGroupID&amp;gt;_x000d__x000a_        &amp;lt;CaseName&amp;gt;רייך נ&amp;#39; רייך&amp;lt;/CaseName&amp;gt;_x000d__x000a_        &amp;lt;CourtID&amp;gt;30&amp;lt;/CourtID&amp;gt;_x000d__x000a_        &amp;lt;CaseTypeID&amp;gt;10181&amp;lt;/CaseTypeID&amp;gt;_x000d__x000a_        &amp;lt;CaseInterestID&amp;gt;10295&amp;lt;/CaseInterestID&amp;gt;_x000d__x000a_        &amp;lt;CaseJudgeName&amp;gt;ערן אביטל&amp;lt;/CaseJudgeName&amp;gt;_x000d__x000a_        &amp;lt;ProcedureID&amp;gt;1&amp;lt;/ProcedureID&amp;gt;_x000d__x000a_        &amp;lt;CaseStatusID&amp;gt;2&amp;lt;/CaseStatusID&amp;gt;_x000d__x000a_        &amp;lt;ProceedingID&amp;gt;3&amp;lt;/ProceedingID&amp;gt;_x000d__x000a_        &amp;lt;IsCaseLinked&amp;gt;false&amp;lt;/IsCaseLinked&amp;gt;_x000d__x000a_        &amp;lt;PrivilegeID&amp;gt;5&amp;lt;/PrivilegeID&amp;gt;_x000d__x000a_        &amp;lt;IsAppealingCaseExist&amp;gt;false&amp;lt;/IsAppealingCaseExist&amp;gt;_x000d__x000a_        &amp;lt;CaseDisplayIdentifier&amp;gt;71107-08-24&amp;lt;/CaseDisplayIdentifier&amp;gt;_x000d__x000a_        &amp;lt;CaseTypeDesc&amp;gt;בע&amp;quot;ק&amp;lt;/CaseTypeDesc&amp;gt;_x000d__x000a_        &amp;lt;CourtDesc&amp;gt;שלום ירושלים&amp;lt;/CourtDesc&amp;gt;_x000d__x000a_        &amp;lt;CaseStageDesc&amp;gt;תיק אלקטרוני&amp;lt;/CaseStageDesc&amp;gt;_x000d__x000a_        &amp;lt;CaseOpenDate&amp;gt;2024-08-29T16:03:00+03:00&amp;lt;/CaseOpenDate&amp;gt;_x000d__x000a_        &amp;lt;PleaTypeID&amp;gt;4&amp;lt;/PleaTypeID&amp;gt;_x000d__x000a_        &amp;lt;CourtLevelID&amp;gt;1&amp;lt;/CourtLevelID&amp;gt;_x000d__x000a_        &amp;lt;CourtLevelCaseTypeInterestID&amp;gt;1065&amp;lt;/CourtLevelCaseTypeInterestID&amp;gt;_x000d__x000a_        &amp;lt;CaseJudgeFirstName&amp;gt;ערן&amp;lt;/CaseJudgeFirstName&amp;gt;_x000d__x000a_        &amp;lt;CaseJudgeLastName&amp;gt;אביטל&amp;lt;/CaseJudgeLastName&amp;gt;_x000d__x000a_        &amp;lt;JudicalPersonID&amp;gt;032405243@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CaseDesc /&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671703&amp;lt;/DecisionID&amp;gt;_x000d__x000a_        &amp;lt;DecisionNumber&amp;gt;2&amp;lt;/DecisionNumber&amp;gt;_x000d__x000a_        &amp;lt;DecisionName&amp;gt;החלטה על בקשה של תובע 1 הבהרה &amp;lt;/DecisionName&amp;gt;_x000d__x000a_        &amp;lt;DecisionStatusID&amp;gt;1&amp;lt;/DecisionStatusID&amp;gt;_x000d__x000a_        &amp;lt;DecisionStatusChangeDate&amp;gt;2024-09-03T12:52:01.887+03:00&amp;lt;/DecisionStatusChangeDate&amp;gt;_x000d__x000a_        &amp;lt;DecisionSignatureDate&amp;gt;2024-09-03T11:01:59.003+03:00&amp;lt;/DecisionSignatureDate&amp;gt;_x000d__x000a_        &amp;lt;DecisionSignatureUserID&amp;gt;032405243@GOV.IL&amp;lt;/DecisionSignatureUserID&amp;gt;_x000d__x000a_        &amp;lt;DecisionCreateDate&amp;gt;2024-09-03T11:07:14.263+03:00&amp;lt;/DecisionCreateDate&amp;gt;_x000d__x000a_        &amp;lt;DecisionChangeDate&amp;gt;2024-09-03T12:52:01.923+03:00&amp;lt;/DecisionChangeDate&amp;gt;_x000d__x000a_        &amp;lt;DecisionChangeUserID&amp;gt;03240524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4056931&amp;lt;/DocumentID&amp;gt;_x000d__x000a_        &amp;lt;PrivilegeID&amp;gt;5&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40524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405243@GOV.IL&amp;lt;/DecisionCreationUserID&amp;gt;_x000d__x000a_        &amp;lt;DecisionDisplayName&amp;gt;החלטה על בקשה של תובע 1 הבהרה &amp;lt;/DecisionDisplayName&amp;gt;_x000d__x000a_        &amp;lt;IsScanned&amp;gt;false&amp;lt;/IsScanned&amp;gt;_x000d__x000a_        &amp;lt;DecisionSignatureUserName&amp;gt;ערן אביט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amp;gt;_x000d__x000a_        &amp;lt;DecisionID&amp;gt;154671703&amp;lt;/DecisionID&amp;gt;_x000d__x000a_        &amp;lt;CaseID&amp;gt;81916728&amp;lt;/CaseID&amp;gt;_x000d__x000a_        &amp;lt;IsOriginal&amp;gt;true&amp;lt;/IsOriginal&amp;gt;_x000d__x000a_        &amp;lt;IsDeleted&amp;gt;false&amp;lt;/IsDeleted&amp;gt;_x000d__x000a_        &amp;lt;CaseName&amp;gt;רייך נ&amp;#39; רייך&amp;lt;/CaseName&amp;gt;_x000d__x000a_        &amp;lt;CaseDisplayIdentifier&amp;gt;71107-08-24 בע&amp;quot;ק&amp;lt;/CaseDisplayIdentifier&amp;gt;_x000d__x000a_      &amp;lt;/dt_DecisionCase&amp;gt;_x000d__x000a_      &amp;lt;dt_DecisionMotion diffgr:id=&amp;quot;dt_DecisionMotion1&amp;quot; msdata:rowOrder=&amp;quot;0&amp;quot;&amp;gt;_x000d__x000a_        &amp;lt;DecisionID&amp;gt;154671703&amp;lt;/DecisionID&amp;gt;_x000d__x000a_        &amp;lt;MotionID&amp;gt;109537344&amp;lt;/MotionID&amp;gt;_x000d__x000a_        &amp;lt;IsOriginalMotion&amp;gt;true&amp;lt;/IsOriginalMotion&amp;gt;_x000d__x000a_        &amp;lt;MotionName&amp;gt;בקשה של תובע 1 הבהרה &amp;lt;/MotionName&amp;gt;_x000d__x000a_        &amp;lt;MotionOpenDate&amp;gt;2024-09-03T09:27:11.89+03:00&amp;lt;/MotionOpenDate&amp;gt;_x000d__x000a_        &amp;lt;CaseID&amp;gt;81916728&amp;lt;/CaseID&amp;gt;_x000d__x000a_        &amp;lt;CaseDisplayIdentifier&amp;gt;71107-08-24 בע&amp;quot;ק&amp;lt;/CaseDisplayIdentifier&amp;gt;_x000d__x000a_        &amp;lt;ProcessNumber&amp;gt;2&amp;lt;/ProcessNumber&amp;gt;_x000d__x000a_        &amp;lt;ListOfProcessIds&amp;gt;2&amp;lt;/ListOfProcessIds&amp;gt;_x000d__x000a_      &amp;lt;/dt_DecisionMotion&amp;gt;_x000d__x000a_    &amp;lt;/DecisionDS&amp;gt;_x000d__x000a_  &amp;lt;/diffgr:diffgram&amp;gt;_x000d__x000a_&amp;lt;/DecisionDS&amp;gt;"/>
    <w:docVar w:name="DecisionID" w:val="154671703"/>
    <w:docVar w:name="WordClientAssemblyName" w:val="NGCS.Decision.ClientWordBL"/>
    <w:docVar w:name="WordClientClassName" w:val="NGCS.Decision.ClientWordBL.DecisionClient"/>
  </w:docVars>
  <w:rsids>
    <w:rsidRoot w:val="002914D6"/>
    <w:rsid w:val="00011212"/>
    <w:rsid w:val="00022BE2"/>
    <w:rsid w:val="00107B2C"/>
    <w:rsid w:val="00133E52"/>
    <w:rsid w:val="0014058F"/>
    <w:rsid w:val="0019474B"/>
    <w:rsid w:val="00273D47"/>
    <w:rsid w:val="002856D3"/>
    <w:rsid w:val="002914D6"/>
    <w:rsid w:val="002C14D6"/>
    <w:rsid w:val="002D52BB"/>
    <w:rsid w:val="002E0FF6"/>
    <w:rsid w:val="002F5307"/>
    <w:rsid w:val="002F5B4D"/>
    <w:rsid w:val="00320617"/>
    <w:rsid w:val="00335158"/>
    <w:rsid w:val="00396156"/>
    <w:rsid w:val="003A0652"/>
    <w:rsid w:val="00413EE7"/>
    <w:rsid w:val="004E04C6"/>
    <w:rsid w:val="004F4787"/>
    <w:rsid w:val="00530E94"/>
    <w:rsid w:val="00552FB4"/>
    <w:rsid w:val="005A782E"/>
    <w:rsid w:val="005E4C4D"/>
    <w:rsid w:val="005E66BB"/>
    <w:rsid w:val="005F19D7"/>
    <w:rsid w:val="00644B5E"/>
    <w:rsid w:val="00651480"/>
    <w:rsid w:val="006E497B"/>
    <w:rsid w:val="00764A12"/>
    <w:rsid w:val="00777DBB"/>
    <w:rsid w:val="00822AA5"/>
    <w:rsid w:val="0087635B"/>
    <w:rsid w:val="009035A1"/>
    <w:rsid w:val="00904FA7"/>
    <w:rsid w:val="00915D77"/>
    <w:rsid w:val="00921E03"/>
    <w:rsid w:val="009226AD"/>
    <w:rsid w:val="00924752"/>
    <w:rsid w:val="009A04C9"/>
    <w:rsid w:val="009D1711"/>
    <w:rsid w:val="00A7661B"/>
    <w:rsid w:val="00B234CE"/>
    <w:rsid w:val="00B31305"/>
    <w:rsid w:val="00C3015D"/>
    <w:rsid w:val="00CC29C2"/>
    <w:rsid w:val="00CE0603"/>
    <w:rsid w:val="00CE7F78"/>
    <w:rsid w:val="00D259ED"/>
    <w:rsid w:val="00DA714E"/>
    <w:rsid w:val="00E04CF1"/>
    <w:rsid w:val="00E66BCC"/>
    <w:rsid w:val="00E72C9F"/>
    <w:rsid w:val="00EA55F7"/>
    <w:rsid w:val="00EC118E"/>
    <w:rsid w:val="00F06DB7"/>
    <w:rsid w:val="00F50E07"/>
    <w:rsid w:val="00F863E1"/>
    <w:rsid w:val="00FC340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3206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81916728</CaseID>
    <CaseJudicialPersonPresentationDS>
      <CaseJudicalPersonActive>
        <CaseID>81916728</CaseID>
        <MotionID>109537344</MotionID>
        <JudicialPersonID>032405243@GOV.IL</JudicialPersonID>
        <JudicialPersonTypeID>1</JudicialPersonTypeID>
        <JudicialTypeID>1</JudicialTypeID>
        <IsChairman>false</IsChairman>
        <TreatmentStartDate>2024-09-03T09:27:11.923+03:00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iesSelectionDS>
      <CaseParties>
        <PartyTypeName>צד</PartyTypeName>
        <ProceedingType>בקשות</ProceedingType>
        <PleaName>בקשה של תובע 1 הבהרה </PleaName>
        <PartyBelonging>צד א'</PartyBelonging>
        <RoleName>מבקש 1</RoleName>
        <IsSubProceeding>TRUE</IsSubProceeding>
        <FullName>אברהם רייך</FullName>
        <FirstName>אברהם</FirstName>
        <LastName>רייך</LastName>
        <PartyPropertyName/>
        <AuthenticationTypeAndNumber>דרכון 589331486</AuthenticationTypeAndNumber>
        <RepresentatedOrRepresentativesNames>חוה ולר</RepresentatedOrRepresentativesNames>
        <RepresentatedOrRepresentativesCount>1</RepresentatedOrRepresentativesCount>
        <InvitedBy/>
        <CaseID>81916728</CaseID>
        <CaseJudicialPersonPresentationDS>
          <CaseJudicalPersonActive>
            <CaseID>81916728</CaseID>
            <MotionID>109537344</MotionID>
            <JudicialPersonID>032405243@GOV.IL</JudicialPersonID>
            <JudicialPersonTypeID>1</JudicialPersonTypeID>
            <JudicialTypeID>1</JudicialTypeID>
            <IsChairman>false</IsChairman>
            <TreatmentStartDate>2024-09-03T09:27:11.923+03:00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yID>276937229</CasePartyID>
        <PartyTypeID>1</PartyTypeID>
        <ActivityStatusID>1</ActivityStatusID>
        <PartyAliasID>3</PartyAliasID>
        <PartyAliasName>מבקש</PartyAliasName>
        <OrdinalNumber>1</OrdinalNumber>
        <LegalEntityID>82933971</LegalEntityID>
        <CaseLegalEntityID>132056287</CaseLegalEntityID>
        <AuthenticationTypeID>2</AuthenticationTypeID>
        <AuthenticationTypeName>דרכון</AuthenticationTypeName>
        <LegalEntityNumber>589331486</LegalEntityNumber>
        <IsMainPartyType>false</IsMainPartyType>
        <CaseDisplayIdentifier>71107-08-24</CaseDisplayIdentifier>
        <CaseTypeID>10181</CaseTypeID>
        <CaseTypeName>בקשה לאישור עיקול (בע"ק)</CaseTypeName>
        <CaseName>רייך נ' רייך</CaseName>
        <FullAddress/>
        <MotionID>109537344</MotionID>
        <CasePleaID>0</CasePleaID>
        <PassportCountryID>710</PassportCountryID>
        <LinkedCaseID>0</LinkedCaseID>
        <PartyID>1</PartyID>
        <CasePartyCategoryID>4</CasePartyCategoryID>
        <PleaTypeID>60</PleaTypeID>
        <GroupPartyAlias>מבקשים</GroupPartyAlias>
        <IsConverted>false</IsConverted>
        <LegalEntityNameID>98136336</LegalEntityNameID>
        <RepresentatedNamesOfAssistant/>
        <LegalEntityTypeID>2</LegalEntityTypeID>
        <IsVerdictExists>false</IsVerdictExists>
        <IsAsirAzir>false</IsAsirAzir>
        <MainAndSecSpec/>
        <IsPublicationProhibited>false</IsPublicationProhibited>
        <PublicationProhibitedFullName>אברהם רייך</PublicationProhibitedFullName>
      </CaseParties>
      <CaseParties>
        <PartyTypeName>צד</PartyTypeName>
        <ProceedingType>בקשות</ProceedingType>
        <PleaName>בקשה של תובע 1 הבהרה </PleaName>
        <PartyBelonging>צד ב'</PartyBelonging>
        <RoleName>משיב 1</RoleName>
        <IsSubProceeding>TRUE</IsSubProceeding>
        <FullName>שפרה רייך</FullName>
        <FirstName>שפרה</FirstName>
        <LastName>רייך</LastName>
        <PartyPropertyName/>
        <AuthenticationTypeAndNumber>ת"ז 050364322</AuthenticationTypeAndNumber>
        <RepresentatedOrRepresentativesNames/>
        <RepresentatedOrRepresentativesCount>0</RepresentatedOrRepresentativesCount>
        <InvitedBy/>
        <CaseID>81916728</CaseID>
        <CaseJudicialPersonPresentationDS>
          <CaseJudicalPersonActive>
            <CaseID>81916728</CaseID>
            <MotionID>109537344</MotionID>
            <JudicialPersonID>032405243@GOV.IL</JudicialPersonID>
            <JudicialPersonTypeID>1</JudicialPersonTypeID>
            <JudicialTypeID>1</JudicialTypeID>
            <IsChairman>false</IsChairman>
            <TreatmentStartDate>2024-09-03T09:27:11.923+03:00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yID>276937230</CasePartyID>
        <PartyTypeID>1</PartyTypeID>
        <ActivityStatusID>1</ActivityStatusID>
        <PartyAliasID>4</PartyAliasID>
        <PartyAliasName>משיב</PartyAliasName>
        <OrdinalNumber>1</OrdinalNumber>
        <LegalEntityID>82933972</LegalEntityID>
        <CaseLegalEntityID>132056289</CaseLegalEntityID>
        <AuthenticationTypeID>1</AuthenticationTypeID>
        <AuthenticationTypeName>ת"ז</AuthenticationTypeName>
        <LegalEntityNumber>050364322</LegalEntityNumber>
        <IsMainPartyType>false</IsMainPartyType>
        <CaseDisplayIdentifier>71107-08-24</CaseDisplayIdentifier>
        <CaseTypeID>10181</CaseTypeID>
        <CaseTypeName>בקשה לאישור עיקול (בע"ק)</CaseTypeName>
        <CaseName>רייך נ' רייך</CaseName>
        <FullAddress/>
        <MotionID>109537344</MotionID>
        <CasePleaID>0</CasePleaID>
        <FatherName>דב</FatherName>
        <LinkedCaseID>0</LinkedCaseID>
        <PartyID>2</PartyID>
        <CasePartyCategoryID>4</CasePartyCategoryID>
        <PleaTypeID>60</PleaTypeID>
        <GroupPartyAlias>משיבים</GroupPartyAlias>
        <IsConverted>false</IsConverted>
        <LegalEntityRegisteredNameID>10872936</LegalEntityRegisteredNameID>
        <LegalEntityNameID>98136337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שפרה רייך</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חוה ולר</FullName>
        <FirstName>חוה</FirstName>
        <LastName>ולר</LastName>
        <PartyPropertyName/>
        <AuthenticationTypeAndNumber>מ.ר. 71779</AuthenticationTypeAndNumber>
        <RepresentatedOrRepresentativesNames>אברהם רייך</RepresentatedOrRepresentativesNames>
        <RepresentatedOrRepresentativesCount>1</RepresentatedOrRepresentativesCount>
        <InvitedBy/>
        <CaseID>81916728</CaseID>
        <CaseJudicialPersonPresentationDS>
          <CaseJudicalPersonActive>
            <CaseID>81916728</CaseID>
            <MotionID>109537344</MotionID>
            <JudicialPersonID>032405243@GOV.IL</JudicialPersonID>
            <JudicialPersonTypeID>1</JudicialPersonTypeID>
            <JudicialTypeID>1</JudicialTypeID>
            <IsChairman>false</IsChairman>
            <TreatmentStartDate>2024-09-03T09:27:11.923+03:00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yID>276831097</CasePartyID>
        <PartyTypeID>2</PartyTypeID>
        <ActivityStatusID>1</ActivityStatusID>
        <PartyAliasID>20</PartyAliasID>
        <PartyAliasName>בא כוח תובעים</PartyAliasName>
        <OrdinalNumber>1</OrdinalNumber>
        <LegalEntityID>74610271</LegalEntityID>
        <CaseLegalEntityID>132056288</CaseLegalEntityID>
        <AuthenticationTypeID>4</AuthenticationTypeID>
        <AuthenticationTypeName>מ.ר.</AuthenticationTypeName>
        <LegalEntityNumber>71779</LegalEntityNumber>
        <IsMainPartyType>true</IsMainPartyType>
        <CaseDisplayIdentifier>71107-08-24</CaseDisplayIdentifier>
        <CaseTypeID>10181</CaseTypeID>
        <CaseTypeName>בקשה לאישור עיקול (בע"ק)</CaseTypeName>
        <CaseName>רייך נ' רייך</CaseName>
        <FullAddress>אלפנדרי 36 ירושלים </FullAddress>
        <EmailAddress>havlin.law@gmail.com</EmailAddress>
        <MotionID>0</MotionID>
        <CasePleaID>0</CasePleaID>
        <LinkedCaseID>0</LinkedCaseID>
        <PartyID>1</PartyID>
        <CasePartyCategoryID>2</CasePartyCategoryID>
        <LegalEntityAddressID>77461812</LegalEntityAddressID>
        <LegalEntityEmailAddressID>67879696</LegalEntityEmailAddressID>
        <PleaTypeID>4</PleaTypeID>
        <LawyerOfficeName>משרד עו"ד חוה ולר</LawyerOfficeName>
        <LawyerOfficeID>74610272</LawyerOfficeID>
        <GroupPartyAlias/>
        <IsConverted>false</IsConverted>
        <LegalEntityNameID>80346680</LegalEntityNameID>
        <RepresentatedNamesOfAssistant/>
        <LegalEntityTypeID>4</LegalEntityTypeID>
        <IsVerdictExists>false</IsVerdictExists>
        <IsAsirAzir>false</IsAsirAzir>
        <MainAndSecSpec/>
        <IsPublicationProhibited>false</IsPublicationProhibited>
        <PublicationProhibitedFullName>חוה ולר</PublicationProhibitedFullName>
      </CaseParties>
    </CasePartiesSelectionDS>
    <DecisionName>החלטה</DecisionName>
    <CourtDisplayName>בית משפט לענייני משפחה בירושלים</CourtDisplayName>
    <IsCaseJudgePanel>false</IsCaseJudgePanel>
    <DecisionSignatureDate>2024-09-03T11:01:59.0049688+03:00</DecisionSignatureDate>
    <OpenCaseDate>2024-08-29T16:03:00+03:00</OpenCaseDate>
    <CaseFeeSum>0.000</CaseFeeSum>
    <DecisionTypeID>1</DecisionTypeID>
    <DecisionSignatureUserName>ערן אביטל</DecisionSignatureUserName>
    <MotionID>109537344</MotionID>
    <DecisionSignatureDateHebrew>2024-09-03T11:01:59.0049688+03:00</DecisionSignatureDateHebrew>
    <MotionNumber>2</MotionNumber>
    <DecisionWriterID>032405243@GOV.IL</DecisionWriterID>
    <CourtAddress>רח' בית הדפוס 12, ירושלים 9548316</CourtAddress>
    <IsAutoTextInCaseExist>false</IsAutoTextInCaseExist>
    <DecisionSignatureRoleName>שופט</DecisionSignatureRoleName>
    <DecisionSignatureUserTitleName>שופט</DecisionSignatureUserTitleName>
    <CaseName>רייך נ' רייך</CaseName>
    <DecisionNumberInCase>3</DecisionNumberInCase>
  </dt_Decision>
  <dt_DecisionCase>
    <DecisionID>0</DecisionID>
    <CaseID>81916728</CaseID>
    <CaseJudicialPersonPresentationDS>
      <CaseJudicalPersonActive>
        <CaseID>81916728</CaseID>
        <MotionID>109537344</MotionID>
        <JudicialPersonID>032405243@GOV.IL</JudicialPersonID>
        <JudicialPersonTypeID>1</JudicialPersonTypeID>
        <JudicialTypeID>1</JudicialTypeID>
        <IsChairman>false</IsChairman>
        <TreatmentStartDate>2024-09-03T09:27:11.923+03:00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iesSelectionDS>
      <CaseParties>
        <PartyTypeName>צד</PartyTypeName>
        <ProceedingType>בקשות</ProceedingType>
        <PleaName>בקשה של תובע 1 הבהרה </PleaName>
        <PartyBelonging>צד א'</PartyBelonging>
        <RoleName>מבקש 1</RoleName>
        <IsSubProceeding>TRUE</IsSubProceeding>
        <FullName>אברהם רייך</FullName>
        <FirstName>אברהם</FirstName>
        <LastName>רייך</LastName>
        <PartyPropertyName/>
        <AuthenticationTypeAndNumber>דרכון 589331486</AuthenticationTypeAndNumber>
        <RepresentatedOrRepresentativesNames>חוה ולר</RepresentatedOrRepresentativesNames>
        <RepresentatedOrRepresentativesCount>1</RepresentatedOrRepresentativesCount>
        <InvitedBy/>
        <CaseID>81916728</CaseID>
        <CaseJudicialPersonPresentationDS>
          <CaseJudicalPersonActive>
            <CaseID>81916728</CaseID>
            <MotionID>109537344</MotionID>
            <JudicialPersonID>032405243@GOV.IL</JudicialPersonID>
            <JudicialPersonTypeID>1</JudicialPersonTypeID>
            <JudicialTypeID>1</JudicialTypeID>
            <IsChairman>false</IsChairman>
            <TreatmentStartDate>2024-09-03T09:27:11.923+03:00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yID>276937229</CasePartyID>
        <PartyTypeID>1</PartyTypeID>
        <ActivityStatusID>1</ActivityStatusID>
        <PartyAliasID>3</PartyAliasID>
        <PartyAliasName>מבקש</PartyAliasName>
        <OrdinalNumber>1</OrdinalNumber>
        <LegalEntityID>82933971</LegalEntityID>
        <CaseLegalEntityID>132056287</CaseLegalEntityID>
        <AuthenticationTypeID>2</AuthenticationTypeID>
        <AuthenticationTypeName>דרכון</AuthenticationTypeName>
        <LegalEntityNumber>589331486</LegalEntityNumber>
        <IsMainPartyType>false</IsMainPartyType>
        <CaseDisplayIdentifier>71107-08-24</CaseDisplayIdentifier>
        <CaseTypeID>10181</CaseTypeID>
        <CaseTypeName>בקשה לאישור עיקול (בע"ק)</CaseTypeName>
        <CaseName>רייך נ' רייך</CaseName>
        <FullAddress/>
        <MotionID>109537344</MotionID>
        <CasePleaID>0</CasePleaID>
        <PassportCountryID>710</PassportCountryID>
        <LinkedCaseID>0</LinkedCaseID>
        <PartyID>1</PartyID>
        <CasePartyCategoryID>4</CasePartyCategoryID>
        <PleaTypeID>60</PleaTypeID>
        <GroupPartyAlias>מבקשים</GroupPartyAlias>
        <IsConverted>false</IsConverted>
        <LegalEntityNameID>98136336</LegalEntityNameID>
        <RepresentatedNamesOfAssistant/>
        <LegalEntityTypeID>2</LegalEntityTypeID>
        <IsVerdictExists>false</IsVerdictExists>
        <IsAsirAzir>false</IsAsirAzir>
        <MainAndSecSpec/>
        <IsPublicationProhibited>false</IsPublicationProhibited>
        <PublicationProhibitedFullName>אברהם רייך</PublicationProhibitedFullName>
      </CaseParties>
      <CaseParties>
        <PartyTypeName>צד</PartyTypeName>
        <ProceedingType>בקשות</ProceedingType>
        <PleaName>בקשה של תובע 1 הבהרה </PleaName>
        <PartyBelonging>צד ב'</PartyBelonging>
        <RoleName>משיב 1</RoleName>
        <IsSubProceeding>TRUE</IsSubProceeding>
        <FullName>שפרה רייך</FullName>
        <FirstName>שפרה</FirstName>
        <LastName>רייך</LastName>
        <PartyPropertyName/>
        <AuthenticationTypeAndNumber>ת"ז 050364322</AuthenticationTypeAndNumber>
        <RepresentatedOrRepresentativesNames/>
        <RepresentatedOrRepresentativesCount>0</RepresentatedOrRepresentativesCount>
        <InvitedBy/>
        <CaseID>81916728</CaseID>
        <CaseJudicialPersonPresentationDS>
          <CaseJudicalPersonActive>
            <CaseID>81916728</CaseID>
            <MotionID>109537344</MotionID>
            <JudicialPersonID>032405243@GOV.IL</JudicialPersonID>
            <JudicialPersonTypeID>1</JudicialPersonTypeID>
            <JudicialTypeID>1</JudicialTypeID>
            <IsChairman>false</IsChairman>
            <TreatmentStartDate>2024-09-03T09:27:11.923+03:00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yID>276937230</CasePartyID>
        <PartyTypeID>1</PartyTypeID>
        <ActivityStatusID>1</ActivityStatusID>
        <PartyAliasID>4</PartyAliasID>
        <PartyAliasName>משיב</PartyAliasName>
        <OrdinalNumber>1</OrdinalNumber>
        <LegalEntityID>82933972</LegalEntityID>
        <CaseLegalEntityID>132056289</CaseLegalEntityID>
        <AuthenticationTypeID>1</AuthenticationTypeID>
        <AuthenticationTypeName>ת"ז</AuthenticationTypeName>
        <LegalEntityNumber>050364322</LegalEntityNumber>
        <IsMainPartyType>false</IsMainPartyType>
        <CaseDisplayIdentifier>71107-08-24</CaseDisplayIdentifier>
        <CaseTypeID>10181</CaseTypeID>
        <CaseTypeName>בקשה לאישור עיקול (בע"ק)</CaseTypeName>
        <CaseName>רייך נ' רייך</CaseName>
        <FullAddress/>
        <MotionID>109537344</MotionID>
        <CasePleaID>0</CasePleaID>
        <FatherName>דב</FatherName>
        <LinkedCaseID>0</LinkedCaseID>
        <PartyID>2</PartyID>
        <CasePartyCategoryID>4</CasePartyCategoryID>
        <PleaTypeID>60</PleaTypeID>
        <GroupPartyAlias>משיבים</GroupPartyAlias>
        <IsConverted>false</IsConverted>
        <LegalEntityRegisteredNameID>10872936</LegalEntityRegisteredNameID>
        <LegalEntityNameID>98136337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שפרה רייך</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חוה ולר</FullName>
        <FirstName>חוה</FirstName>
        <LastName>ולר</LastName>
        <PartyPropertyName/>
        <AuthenticationTypeAndNumber>מ.ר. 71779</AuthenticationTypeAndNumber>
        <RepresentatedOrRepresentativesNames>אברהם רייך</RepresentatedOrRepresentativesNames>
        <RepresentatedOrRepresentativesCount>1</RepresentatedOrRepresentativesCount>
        <InvitedBy/>
        <CaseID>81916728</CaseID>
        <CaseJudicialPersonPresentationDS>
          <CaseJudicalPersonActive>
            <CaseID>81916728</CaseID>
            <MotionID>109537344</MotionID>
            <JudicialPersonID>032405243@GOV.IL</JudicialPersonID>
            <JudicialPersonTypeID>1</JudicialPersonTypeID>
            <JudicialTypeID>1</JudicialTypeID>
            <IsChairman>false</IsChairman>
            <TreatmentStartDate>2024-09-03T09:27:11.923+03:00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yID>276831097</CasePartyID>
        <PartyTypeID>2</PartyTypeID>
        <ActivityStatusID>1</ActivityStatusID>
        <PartyAliasID>20</PartyAliasID>
        <PartyAliasName>בא כוח תובעים</PartyAliasName>
        <OrdinalNumber>1</OrdinalNumber>
        <LegalEntityID>74610271</LegalEntityID>
        <CaseLegalEntityID>132056288</CaseLegalEntityID>
        <AuthenticationTypeID>4</AuthenticationTypeID>
        <AuthenticationTypeName>מ.ר.</AuthenticationTypeName>
        <LegalEntityNumber>71779</LegalEntityNumber>
        <IsMainPartyType>true</IsMainPartyType>
        <CaseDisplayIdentifier>71107-08-24</CaseDisplayIdentifier>
        <CaseTypeID>10181</CaseTypeID>
        <CaseTypeName>בקשה לאישור עיקול (בע"ק)</CaseTypeName>
        <CaseName>רייך נ' רייך</CaseName>
        <FullAddress>אלפנדרי 36 ירושלים </FullAddress>
        <EmailAddress>havlin.law@gmail.com</EmailAddress>
        <MotionID>0</MotionID>
        <CasePleaID>0</CasePleaID>
        <LinkedCaseID>0</LinkedCaseID>
        <PartyID>1</PartyID>
        <CasePartyCategoryID>2</CasePartyCategoryID>
        <LegalEntityAddressID>77461812</LegalEntityAddressID>
        <LegalEntityEmailAddressID>67879696</LegalEntityEmailAddressID>
        <PleaTypeID>4</PleaTypeID>
        <LawyerOfficeName>משרד עו"ד חוה ולר</LawyerOfficeName>
        <LawyerOfficeID>74610272</LawyerOfficeID>
        <GroupPartyAlias/>
        <IsConverted>false</IsConverted>
        <LegalEntityNameID>80346680</LegalEntityNameID>
        <RepresentatedNamesOfAssistant/>
        <LegalEntityTypeID>4</LegalEntityTypeID>
        <IsVerdictExists>false</IsVerdictExists>
        <IsAsirAzir>false</IsAsirAzir>
        <MainAndSecSpec/>
        <IsPublicationProhibited>false</IsPublicationProhibited>
        <PublicationProhibitedFullName>חוה ולר</PublicationProhibitedFullName>
      </CaseParties>
    </CasePartiesSelectionDS>
    <CaseName>רייך נ' רייך</CaseName>
    <CaseDisplayIdentifier>71107-08-24</CaseDisplayIdentifier>
    <CaseInterestID>10295</CaseInterestID>
    <CaseTypeShortName>בע"ק</CaseTypeShortName>
  </dt_DecisionCase>
  <dt_DecisionJudgePanel>
    <JudgeID>032405243@GOV.IL</JudgeID>
    <DisplayName>ערן אביטל</DisplayName>
    <RoleName>שופט</RoleName>
    <UserTitleName>שופט</UserTitleName>
  </dt_DecisionJudgePanel>
  <dt_LegalEntityDetails>
    <PartyID>1</PartyID>
    <PartyTypeID>1</PartyTypeID>
    <DecisionID>0</DecisionID>
    <IsPublicationProhibited>false</IsPublicationProhibited>
  </dt_LegalEntityDetails>
  <dt_LegalEntityDetails>
    <Fax>153-25385097</Fax>
    <Phone>02-5385097</Phone>
    <PartyID>1</PartyID>
    <PartyTypeID>2</PartyTypeID>
    <DecisionID>0</DecisionID>
    <StreetName>אלפנדרי 36</StreetName>
    <ZipCode>94353</ZipCode>
    <CityName>ירושלים</CityName>
    <FullName>חוה ולר</FullName>
    <Email>havlin.law@gmail.com</Email>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 ערן אביטל</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C3411-637E-4579-B9E6-79DEB5FC606E}">
  <ds:schemaRefs/>
</ds:datastoreItem>
</file>

<file path=customXml/itemProps2.xml><?xml version="1.0" encoding="utf-8"?>
<ds:datastoreItem xmlns:ds="http://schemas.openxmlformats.org/officeDocument/2006/customXml" ds:itemID="{3C388260-117D-4C37-936F-CA8333A32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774</Words>
  <Characters>3875</Characters>
  <Application>Microsoft Office Word</Application>
  <DocSecurity>0</DocSecurity>
  <Lines>32</Lines>
  <Paragraphs>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2024-09-23T13:59:00Z</dcterms:created>
  <dcterms:modified xsi:type="dcterms:W3CDTF">2024-09-23T13:59:00Z</dcterms:modified>
</cp:coreProperties>
</file>